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B31019D" w14:textId="41059DAC" w:rsidR="00522861" w:rsidRPr="00B5164E" w:rsidRDefault="00522861" w:rsidP="00522861">
      <w:pPr>
        <w:spacing w:line="320" w:lineRule="exact"/>
        <w:rPr>
          <w:rFonts w:ascii="Arial" w:hAnsi="Arial" w:cs="Arial"/>
          <w:b/>
          <w:bCs/>
          <w:snapToGrid w:val="0"/>
        </w:rPr>
      </w:pPr>
      <w:r w:rsidRPr="00957B21">
        <w:rPr>
          <w:rFonts w:ascii="Arial" w:hAnsi="Arial" w:cs="Arial"/>
          <w:b/>
          <w:bCs/>
          <w:snapToGrid w:val="0"/>
          <w:lang w:val="en-GB"/>
        </w:rPr>
        <w:t>3GPP TSG RAN WG1 #</w:t>
      </w:r>
      <w:r w:rsidR="00B95829">
        <w:rPr>
          <w:rFonts w:ascii="Arial" w:hAnsi="Arial" w:cs="Arial"/>
          <w:b/>
          <w:bCs/>
          <w:snapToGrid w:val="0"/>
          <w:lang w:val="en-GB"/>
        </w:rPr>
        <w:t>111</w:t>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F744B0" w:rsidRPr="00957B21">
        <w:rPr>
          <w:rFonts w:ascii="Arial" w:hAnsi="Arial" w:cs="Arial"/>
          <w:b/>
          <w:bCs/>
          <w:snapToGrid w:val="0"/>
        </w:rPr>
        <w:t>22</w:t>
      </w:r>
      <w:r w:rsidR="00B95829">
        <w:rPr>
          <w:rFonts w:ascii="Arial" w:hAnsi="Arial" w:cs="Arial"/>
          <w:b/>
          <w:bCs/>
          <w:snapToGrid w:val="0"/>
        </w:rPr>
        <w:t>11873</w:t>
      </w:r>
    </w:p>
    <w:p w14:paraId="5217CEF5" w14:textId="088506E1" w:rsidR="00522861" w:rsidRPr="006A0944" w:rsidRDefault="00B95829" w:rsidP="00522861">
      <w:pPr>
        <w:pBdr>
          <w:bottom w:val="single" w:sz="12" w:space="1" w:color="auto"/>
        </w:pBdr>
        <w:spacing w:line="240" w:lineRule="atLeast"/>
        <w:rPr>
          <w:rFonts w:ascii="Arial" w:hAnsi="Arial" w:cs="Arial"/>
          <w:b/>
          <w:bCs/>
          <w:snapToGrid w:val="0"/>
        </w:rPr>
      </w:pPr>
      <w:r>
        <w:rPr>
          <w:rFonts w:ascii="Arial" w:hAnsi="Arial" w:cs="Arial" w:hint="eastAsia"/>
          <w:b/>
          <w:bCs/>
          <w:snapToGrid w:val="0"/>
          <w:lang w:val="en-GB"/>
        </w:rPr>
        <w:t>Toulouse, France, Novembe</w:t>
      </w:r>
      <w:r w:rsidR="006502ED">
        <w:rPr>
          <w:rFonts w:ascii="Arial" w:hAnsi="Arial" w:cs="Arial"/>
          <w:b/>
          <w:bCs/>
          <w:snapToGrid w:val="0"/>
          <w:lang w:val="en-GB"/>
        </w:rPr>
        <w:t>r</w:t>
      </w:r>
      <w:r w:rsidR="00522861" w:rsidRPr="00957B21">
        <w:rPr>
          <w:rFonts w:ascii="Arial" w:hAnsi="Arial" w:cs="Arial"/>
          <w:b/>
          <w:bCs/>
          <w:snapToGrid w:val="0"/>
          <w:lang w:val="en-GB"/>
        </w:rPr>
        <w:t xml:space="preserve"> </w:t>
      </w:r>
      <w:r w:rsidR="006502ED">
        <w:rPr>
          <w:rFonts w:ascii="Arial" w:eastAsia="MS Mincho" w:hAnsi="Arial" w:cs="Arial"/>
          <w:b/>
          <w:bCs/>
          <w:lang w:val="en-GB" w:eastAsia="ja-JP"/>
        </w:rPr>
        <w:t>1</w:t>
      </w:r>
      <w:r>
        <w:rPr>
          <w:rFonts w:ascii="Arial" w:eastAsia="MS Mincho" w:hAnsi="Arial" w:cs="Arial"/>
          <w:b/>
          <w:bCs/>
          <w:lang w:val="en-GB" w:eastAsia="ja-JP"/>
        </w:rPr>
        <w:t>4</w:t>
      </w:r>
      <w:r w:rsidR="006502ED">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xml:space="preserve"> – </w:t>
      </w:r>
      <w:r w:rsidR="006502ED">
        <w:rPr>
          <w:rFonts w:ascii="Arial" w:eastAsia="MS Mincho" w:hAnsi="Arial" w:cs="Arial"/>
          <w:b/>
          <w:bCs/>
          <w:lang w:val="en-GB" w:eastAsia="ja-JP"/>
        </w:rPr>
        <w:t>1</w:t>
      </w:r>
      <w:r>
        <w:rPr>
          <w:rFonts w:ascii="Arial" w:eastAsia="MS Mincho" w:hAnsi="Arial" w:cs="Arial"/>
          <w:b/>
          <w:bCs/>
          <w:lang w:val="en-GB" w:eastAsia="ja-JP"/>
        </w:rPr>
        <w:t>8</w:t>
      </w:r>
      <w:r w:rsidR="00957B21" w:rsidRPr="00957B21">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2022</w:t>
      </w:r>
    </w:p>
    <w:p w14:paraId="260329CA" w14:textId="0B6FCA4D"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173D77">
        <w:rPr>
          <w:rFonts w:ascii="Times New Roman" w:hAnsi="Times New Roman"/>
        </w:rPr>
        <w:t>9.</w:t>
      </w:r>
      <w:r w:rsidR="00566E8C">
        <w:rPr>
          <w:rFonts w:ascii="Times New Roman" w:hAnsi="Times New Roman"/>
        </w:rPr>
        <w:t>12</w:t>
      </w:r>
      <w:r w:rsidR="00957B21">
        <w:rPr>
          <w:rFonts w:ascii="Times New Roman" w:hAnsi="Times New Roman"/>
        </w:rPr>
        <w:t>.1</w:t>
      </w:r>
    </w:p>
    <w:p w14:paraId="6266EABF" w14:textId="7AD3148A" w:rsidR="004A0DEB" w:rsidRPr="00D949A0" w:rsidRDefault="004A0DEB" w:rsidP="000941AD">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Pr="00D949A0">
        <w:rPr>
          <w:rFonts w:ascii="Times New Roman" w:hAnsi="Times New Roman"/>
        </w:rPr>
        <w:t>LG Electronics</w:t>
      </w:r>
      <w:r w:rsidR="00F341DB">
        <w:rPr>
          <w:rFonts w:ascii="Times New Roman" w:hAnsi="Times New Roman"/>
        </w:rPr>
        <w:tab/>
      </w:r>
    </w:p>
    <w:p w14:paraId="21487C5A" w14:textId="6EF2FEC6"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566E8C">
        <w:rPr>
          <w:rFonts w:ascii="Times New Roman" w:hAnsi="Times New Roman"/>
        </w:rPr>
        <w:t>Enhancements on inter-cell beam management for mobility</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76F39922" w14:textId="265B4ECD" w:rsidR="00957B21" w:rsidRDefault="00957B21"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rFonts w:hint="eastAsia"/>
          <w:b w:val="0"/>
          <w:sz w:val="22"/>
          <w:lang w:val="en-US"/>
        </w:rPr>
        <w:t>In RAN#</w:t>
      </w:r>
      <w:r w:rsidR="009D3CFE">
        <w:rPr>
          <w:b w:val="0"/>
          <w:sz w:val="22"/>
          <w:lang w:val="en-US"/>
        </w:rPr>
        <w:t>94</w:t>
      </w:r>
      <w:r w:rsidRPr="00475EA3">
        <w:rPr>
          <w:rFonts w:hint="eastAsia"/>
          <w:b w:val="0"/>
          <w:sz w:val="22"/>
          <w:lang w:val="en-US"/>
        </w:rPr>
        <w:t xml:space="preserve"> meeting, the </w:t>
      </w:r>
      <w:r w:rsidR="00FB5ED2">
        <w:rPr>
          <w:b w:val="0"/>
          <w:sz w:val="22"/>
          <w:lang w:val="en-US"/>
        </w:rPr>
        <w:t>objectives</w:t>
      </w:r>
      <w:r w:rsidRPr="00475EA3">
        <w:rPr>
          <w:rFonts w:hint="eastAsia"/>
          <w:b w:val="0"/>
          <w:sz w:val="22"/>
          <w:lang w:val="en-US"/>
        </w:rPr>
        <w:t xml:space="preserve"> for </w:t>
      </w:r>
      <w:r w:rsidR="00475EA3" w:rsidRPr="00475EA3">
        <w:rPr>
          <w:b w:val="0"/>
          <w:sz w:val="22"/>
          <w:lang w:val="en-US"/>
        </w:rPr>
        <w:t xml:space="preserve">further </w:t>
      </w:r>
      <w:r w:rsidR="00265A2E">
        <w:rPr>
          <w:b w:val="0"/>
          <w:sz w:val="22"/>
          <w:lang w:val="en-US"/>
        </w:rPr>
        <w:t>NR mobility enhancements</w:t>
      </w:r>
      <w:r w:rsidR="00475EA3" w:rsidRPr="00475EA3">
        <w:rPr>
          <w:b w:val="0"/>
          <w:sz w:val="22"/>
          <w:lang w:val="en-US"/>
        </w:rPr>
        <w:t xml:space="preserve"> w</w:t>
      </w:r>
      <w:r w:rsidR="00E7680B">
        <w:rPr>
          <w:b w:val="0"/>
          <w:sz w:val="22"/>
          <w:lang w:val="en-US"/>
        </w:rPr>
        <w:t>ere</w:t>
      </w:r>
      <w:r w:rsidR="00475EA3" w:rsidRPr="00475EA3">
        <w:rPr>
          <w:b w:val="0"/>
          <w:sz w:val="22"/>
          <w:lang w:val="en-US"/>
        </w:rPr>
        <w:t xml:space="preserve"> approved [1], wh</w:t>
      </w:r>
      <w:r w:rsidR="001C4E9F">
        <w:rPr>
          <w:b w:val="0"/>
          <w:sz w:val="22"/>
          <w:lang w:val="en-US"/>
        </w:rPr>
        <w:t>ich includes</w:t>
      </w:r>
      <w:r w:rsidR="00475EA3" w:rsidRPr="00475EA3">
        <w:rPr>
          <w:b w:val="0"/>
          <w:sz w:val="22"/>
          <w:lang w:val="en-US"/>
        </w:rPr>
        <w:t xml:space="preserve"> the following </w:t>
      </w:r>
      <w:r w:rsidR="00475EA3">
        <w:rPr>
          <w:b w:val="0"/>
          <w:sz w:val="22"/>
          <w:lang w:val="en-US"/>
        </w:rPr>
        <w:t xml:space="preserve">objectives </w:t>
      </w:r>
      <w:r w:rsidR="001C4E9F">
        <w:rPr>
          <w:b w:val="0"/>
          <w:sz w:val="22"/>
          <w:lang w:val="en-US"/>
        </w:rPr>
        <w:t>related to</w:t>
      </w:r>
      <w:r w:rsidR="00475EA3">
        <w:rPr>
          <w:b w:val="0"/>
          <w:sz w:val="22"/>
          <w:lang w:val="en-US"/>
        </w:rPr>
        <w:t xml:space="preserve"> </w:t>
      </w:r>
      <w:r w:rsidR="00265A2E">
        <w:rPr>
          <w:b w:val="0"/>
          <w:sz w:val="22"/>
          <w:lang w:val="en-US"/>
        </w:rPr>
        <w:t>L1 enhancements for inter-cell beam management and timing advance management as</w:t>
      </w:r>
      <w:r w:rsidR="00475EA3">
        <w:rPr>
          <w:b w:val="0"/>
          <w:sz w:val="22"/>
          <w:lang w:val="en-US"/>
        </w:rPr>
        <w:t>:</w:t>
      </w:r>
    </w:p>
    <w:tbl>
      <w:tblPr>
        <w:tblStyle w:val="ad"/>
        <w:tblW w:w="0" w:type="auto"/>
        <w:tblLook w:val="04A0" w:firstRow="1" w:lastRow="0" w:firstColumn="1" w:lastColumn="0" w:noHBand="0" w:noVBand="1"/>
      </w:tblPr>
      <w:tblGrid>
        <w:gridCol w:w="9017"/>
      </w:tblGrid>
      <w:tr w:rsidR="00475EA3" w14:paraId="5107FAC0" w14:textId="77777777" w:rsidTr="00475EA3">
        <w:tc>
          <w:tcPr>
            <w:tcW w:w="9017" w:type="dxa"/>
          </w:tcPr>
          <w:p w14:paraId="4D1AE946" w14:textId="77777777" w:rsidR="00265A2E" w:rsidRPr="00265A2E" w:rsidRDefault="00265A2E" w:rsidP="00265A2E">
            <w:pPr>
              <w:numPr>
                <w:ilvl w:val="0"/>
                <w:numId w:val="42"/>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 xml:space="preserve">To specify mechanism and procedures of </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1/L2 based inter-cell mobility for mobility latency reduction:</w:t>
            </w:r>
          </w:p>
          <w:p w14:paraId="1C73F12F" w14:textId="77777777" w:rsidR="00265A2E" w:rsidRPr="00265A2E" w:rsidRDefault="00265A2E" w:rsidP="00265A2E">
            <w:pPr>
              <w:numPr>
                <w:ilvl w:val="0"/>
                <w:numId w:val="43"/>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Configuration and maintenance for multiple candidate cells to allow fast application of configurations for candidate cells [RAN2, RAN3]</w:t>
            </w:r>
          </w:p>
          <w:p w14:paraId="26F847E1" w14:textId="77777777" w:rsidR="00265A2E" w:rsidRPr="00265A2E" w:rsidRDefault="00265A2E" w:rsidP="00265A2E">
            <w:pPr>
              <w:numPr>
                <w:ilvl w:val="0"/>
                <w:numId w:val="43"/>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Dynamic switch mechanism among candidate serving cells (including SpCell and SCell) for the potential applicable scenarios based on L1</w:t>
            </w:r>
            <w:r w:rsidRPr="00265A2E">
              <w:rPr>
                <w:rFonts w:ascii="Times New Roman" w:eastAsia="맑은 고딕" w:hAnsi="Times New Roman" w:cs="Times New Roman" w:hint="eastAsia"/>
                <w:bCs/>
                <w:sz w:val="20"/>
                <w:szCs w:val="20"/>
                <w:lang w:eastAsia="en-GB"/>
              </w:rPr>
              <w:t>/</w:t>
            </w:r>
            <w:r w:rsidRPr="00265A2E">
              <w:rPr>
                <w:rFonts w:ascii="Times New Roman" w:eastAsia="맑은 고딕" w:hAnsi="Times New Roman" w:cs="Times New Roman"/>
                <w:bCs/>
                <w:sz w:val="20"/>
                <w:szCs w:val="20"/>
                <w:lang w:eastAsia="en-GB"/>
              </w:rPr>
              <w:t>L2 signalling [RAN2, RAN1]</w:t>
            </w:r>
          </w:p>
          <w:p w14:paraId="1DEA583C" w14:textId="77777777" w:rsidR="00265A2E" w:rsidRPr="00265A2E" w:rsidRDefault="00265A2E" w:rsidP="00265A2E">
            <w:pPr>
              <w:numPr>
                <w:ilvl w:val="0"/>
                <w:numId w:val="43"/>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 xml:space="preserve">L1 enhancements for inter-cell beam management, including </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1 measurement and reporting, and beam indication [RAN1, RAN2]</w:t>
            </w:r>
          </w:p>
          <w:p w14:paraId="4247B2F0" w14:textId="77777777" w:rsidR="00265A2E" w:rsidRPr="00265A2E" w:rsidRDefault="00265A2E" w:rsidP="00265A2E">
            <w:pPr>
              <w:numPr>
                <w:ilvl w:val="1"/>
                <w:numId w:val="43"/>
              </w:numPr>
              <w:overflowPunct w:val="0"/>
              <w:autoSpaceDE w:val="0"/>
              <w:autoSpaceDN w:val="0"/>
              <w:adjustRightInd w:val="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1: Early RAN2 involvement is necessary, including the possibility of further clarifying the interaction between this bullet with the previous bullet</w:t>
            </w:r>
          </w:p>
          <w:p w14:paraId="53A8836B" w14:textId="77777777" w:rsidR="00265A2E" w:rsidRPr="00265A2E" w:rsidRDefault="00265A2E" w:rsidP="00265A2E">
            <w:pPr>
              <w:numPr>
                <w:ilvl w:val="0"/>
                <w:numId w:val="43"/>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Timing Advance management [RAN1, RAN2]</w:t>
            </w:r>
          </w:p>
          <w:p w14:paraId="02C67EBC" w14:textId="77777777" w:rsidR="00265A2E" w:rsidRPr="00265A2E" w:rsidRDefault="00265A2E" w:rsidP="00265A2E">
            <w:pPr>
              <w:numPr>
                <w:ilvl w:val="0"/>
                <w:numId w:val="43"/>
              </w:num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r w:rsidRPr="00265A2E">
              <w:rPr>
                <w:rFonts w:ascii="Times New Roman" w:eastAsia="맑은 고딕" w:hAnsi="Times New Roman" w:cs="Times New Roman"/>
                <w:bCs/>
                <w:sz w:val="20"/>
                <w:szCs w:val="20"/>
                <w:lang w:eastAsia="en-GB"/>
              </w:rPr>
              <w:t>CU-DU interface signaling to support L1/</w:t>
            </w:r>
            <w:r w:rsidRPr="00265A2E">
              <w:rPr>
                <w:rFonts w:ascii="Times New Roman" w:eastAsia="맑은 고딕" w:hAnsi="Times New Roman" w:cs="Times New Roman" w:hint="eastAsia"/>
                <w:bCs/>
                <w:sz w:val="20"/>
                <w:szCs w:val="20"/>
                <w:lang w:eastAsia="en-GB"/>
              </w:rPr>
              <w:t>L</w:t>
            </w:r>
            <w:r w:rsidRPr="00265A2E">
              <w:rPr>
                <w:rFonts w:ascii="Times New Roman" w:eastAsia="맑은 고딕" w:hAnsi="Times New Roman" w:cs="Times New Roman"/>
                <w:bCs/>
                <w:sz w:val="20"/>
                <w:szCs w:val="20"/>
                <w:lang w:eastAsia="en-GB"/>
              </w:rPr>
              <w:t>2 mobility, if needed [RAN3]</w:t>
            </w:r>
          </w:p>
          <w:p w14:paraId="13F8A421" w14:textId="77777777" w:rsidR="00265A2E" w:rsidRPr="00265A2E" w:rsidRDefault="00265A2E" w:rsidP="00265A2E">
            <w:pPr>
              <w:overflowPunct w:val="0"/>
              <w:autoSpaceDE w:val="0"/>
              <w:autoSpaceDN w:val="0"/>
              <w:adjustRightInd w:val="0"/>
              <w:jc w:val="both"/>
              <w:textAlignment w:val="baseline"/>
              <w:rPr>
                <w:rFonts w:ascii="Times New Roman" w:eastAsia="맑은 고딕" w:hAnsi="Times New Roman" w:cs="Times New Roman"/>
                <w:bCs/>
                <w:sz w:val="20"/>
                <w:szCs w:val="20"/>
                <w:lang w:eastAsia="en-GB"/>
              </w:rPr>
            </w:pPr>
          </w:p>
          <w:p w14:paraId="44BD3173" w14:textId="77777777" w:rsidR="00265A2E" w:rsidRPr="00265A2E" w:rsidRDefault="00265A2E" w:rsidP="00265A2E">
            <w:pPr>
              <w:overflowPunct w:val="0"/>
              <w:autoSpaceDE w:val="0"/>
              <w:autoSpaceDN w:val="0"/>
              <w:adjustRightInd w:val="0"/>
              <w:ind w:left="72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2: FR2 specific enhancements are not precluded, if any.</w:t>
            </w:r>
          </w:p>
          <w:p w14:paraId="291EE0BF" w14:textId="77777777" w:rsidR="00265A2E" w:rsidRPr="00265A2E" w:rsidRDefault="00265A2E" w:rsidP="00265A2E">
            <w:pPr>
              <w:overflowPunct w:val="0"/>
              <w:autoSpaceDE w:val="0"/>
              <w:autoSpaceDN w:val="0"/>
              <w:adjustRightInd w:val="0"/>
              <w:ind w:left="720"/>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Note 3: The procedure of L1/L2 based inter-cell mobility are applicable to the following scenarios:</w:t>
            </w:r>
          </w:p>
          <w:p w14:paraId="20A0BC4E" w14:textId="77777777" w:rsidR="00265A2E" w:rsidRPr="00265A2E" w:rsidRDefault="00265A2E" w:rsidP="00265A2E">
            <w:pPr>
              <w:numPr>
                <w:ilvl w:val="2"/>
                <w:numId w:val="44"/>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Standalone, CA and NR-DC case with serving cell change within one CG</w:t>
            </w:r>
          </w:p>
          <w:p w14:paraId="5164C9A9" w14:textId="77777777" w:rsidR="00265A2E" w:rsidRPr="00265A2E" w:rsidRDefault="00265A2E" w:rsidP="00265A2E">
            <w:pPr>
              <w:numPr>
                <w:ilvl w:val="2"/>
                <w:numId w:val="44"/>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Intra-DU case and intra-CU inter-DU case (applicable for Standalone and CA: no new RAN interfaces are expected)</w:t>
            </w:r>
          </w:p>
          <w:p w14:paraId="2299439E" w14:textId="77777777" w:rsidR="00265A2E" w:rsidRPr="00265A2E" w:rsidRDefault="00265A2E" w:rsidP="00265A2E">
            <w:pPr>
              <w:numPr>
                <w:ilvl w:val="2"/>
                <w:numId w:val="44"/>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Both intra-frequency and inter-frequency</w:t>
            </w:r>
          </w:p>
          <w:p w14:paraId="6CC3DB76" w14:textId="77777777" w:rsidR="00265A2E" w:rsidRPr="00265A2E" w:rsidRDefault="00265A2E" w:rsidP="00265A2E">
            <w:pPr>
              <w:numPr>
                <w:ilvl w:val="2"/>
                <w:numId w:val="44"/>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Both FR1 and FR2</w:t>
            </w:r>
          </w:p>
          <w:p w14:paraId="0E403A44" w14:textId="0A38803D" w:rsidR="00475EA3" w:rsidRPr="00265A2E" w:rsidRDefault="00265A2E" w:rsidP="00265A2E">
            <w:pPr>
              <w:numPr>
                <w:ilvl w:val="2"/>
                <w:numId w:val="44"/>
              </w:numPr>
              <w:overflowPunct w:val="0"/>
              <w:autoSpaceDE w:val="0"/>
              <w:autoSpaceDN w:val="0"/>
              <w:adjustRightInd w:val="0"/>
              <w:ind w:left="1443"/>
              <w:jc w:val="both"/>
              <w:textAlignment w:val="baseline"/>
              <w:rPr>
                <w:rFonts w:ascii="Times New Roman" w:eastAsia="맑은 고딕" w:hAnsi="Times New Roman" w:cs="Times New Roman"/>
                <w:bCs/>
                <w:i/>
                <w:sz w:val="20"/>
                <w:szCs w:val="20"/>
                <w:lang w:eastAsia="en-GB"/>
              </w:rPr>
            </w:pPr>
            <w:r w:rsidRPr="00265A2E">
              <w:rPr>
                <w:rFonts w:ascii="Times New Roman" w:eastAsia="맑은 고딕" w:hAnsi="Times New Roman" w:cs="Times New Roman"/>
                <w:bCs/>
                <w:i/>
                <w:sz w:val="20"/>
                <w:szCs w:val="20"/>
                <w:lang w:eastAsia="en-GB"/>
              </w:rPr>
              <w:t>Source and target cells may be synchronized or non-synchronized</w:t>
            </w:r>
          </w:p>
        </w:tc>
      </w:tr>
    </w:tbl>
    <w:p w14:paraId="30441C51" w14:textId="64F61D58" w:rsidR="00475EA3" w:rsidRPr="00475EA3" w:rsidRDefault="00475EA3" w:rsidP="00475EA3">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Pr>
          <w:b w:val="0"/>
          <w:sz w:val="22"/>
          <w:lang w:val="en-US"/>
        </w:rPr>
        <w:t xml:space="preserve">potential enhancements on </w:t>
      </w:r>
      <w:r w:rsidR="00265A2E">
        <w:rPr>
          <w:b w:val="0"/>
          <w:sz w:val="22"/>
          <w:lang w:val="en-US"/>
        </w:rPr>
        <w:t>inter-cell beam management for mobility based on L1</w:t>
      </w:r>
      <w:r w:rsidR="00AE0062">
        <w:rPr>
          <w:b w:val="0"/>
          <w:sz w:val="22"/>
          <w:lang w:val="en-US"/>
        </w:rPr>
        <w:t>/L2</w:t>
      </w:r>
      <w:r w:rsidR="00265A2E">
        <w:rPr>
          <w:b w:val="0"/>
          <w:sz w:val="22"/>
          <w:lang w:val="en-US"/>
        </w:rPr>
        <w:t xml:space="preserve"> measurement/reporting</w:t>
      </w:r>
      <w:r>
        <w:rPr>
          <w:b w:val="0"/>
          <w:sz w:val="22"/>
          <w:lang w:val="en-US"/>
        </w:rPr>
        <w:t>.</w:t>
      </w:r>
    </w:p>
    <w:p w14:paraId="27B63040" w14:textId="7A11DF69" w:rsidR="001E74D3" w:rsidRPr="004A106E" w:rsidRDefault="001C4E9F" w:rsidP="00F33977">
      <w:pPr>
        <w:pStyle w:val="1"/>
        <w:numPr>
          <w:ilvl w:val="0"/>
          <w:numId w:val="13"/>
        </w:numPr>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54FEBAC1" w14:textId="33CE2EF6" w:rsidR="00454BE7" w:rsidRDefault="005B2DF5" w:rsidP="001E29F3">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In Rel-17 feMIMO WI, inter-cell </w:t>
      </w:r>
      <w:r w:rsidR="000E0C12">
        <w:rPr>
          <w:b w:val="0"/>
          <w:sz w:val="22"/>
          <w:lang w:val="en-US"/>
        </w:rPr>
        <w:t>beam management</w:t>
      </w:r>
      <w:r>
        <w:rPr>
          <w:b w:val="0"/>
          <w:sz w:val="22"/>
          <w:lang w:val="en-US"/>
        </w:rPr>
        <w:t xml:space="preserve"> (BM) including beam measurement/reporting and beam indication</w:t>
      </w:r>
      <w:r w:rsidR="000E0C12">
        <w:rPr>
          <w:b w:val="0"/>
          <w:sz w:val="22"/>
          <w:lang w:val="en-US"/>
        </w:rPr>
        <w:t xml:space="preserve"> was </w:t>
      </w:r>
      <w:r>
        <w:rPr>
          <w:b w:val="0"/>
          <w:sz w:val="22"/>
          <w:lang w:val="en-US"/>
        </w:rPr>
        <w:t>introduced</w:t>
      </w:r>
      <w:r w:rsidR="000E0C12">
        <w:rPr>
          <w:b w:val="0"/>
          <w:sz w:val="22"/>
          <w:lang w:val="en-US"/>
        </w:rPr>
        <w:t xml:space="preserve"> </w:t>
      </w:r>
      <w:r>
        <w:rPr>
          <w:b w:val="0"/>
          <w:sz w:val="22"/>
          <w:lang w:val="en-US"/>
        </w:rPr>
        <w:t>based on unified TCI framework where</w:t>
      </w:r>
      <w:r w:rsidR="000E0C12">
        <w:rPr>
          <w:b w:val="0"/>
          <w:sz w:val="22"/>
          <w:lang w:val="en-US"/>
        </w:rPr>
        <w:t xml:space="preserve"> the inter-cell BM allows UE to </w:t>
      </w:r>
      <w:r>
        <w:rPr>
          <w:b w:val="0"/>
          <w:sz w:val="22"/>
          <w:lang w:val="en-US"/>
        </w:rPr>
        <w:t>utilize SSBs from a serving cell with different PCID</w:t>
      </w:r>
      <w:r w:rsidR="000E0C12">
        <w:rPr>
          <w:b w:val="0"/>
          <w:sz w:val="22"/>
          <w:lang w:val="en-US"/>
        </w:rPr>
        <w:t xml:space="preserve"> as QCL source</w:t>
      </w:r>
      <w:r>
        <w:rPr>
          <w:b w:val="0"/>
          <w:sz w:val="22"/>
          <w:lang w:val="en-US"/>
        </w:rPr>
        <w:t xml:space="preserve"> for beam indication/update</w:t>
      </w:r>
      <w:r w:rsidR="000E0C12">
        <w:rPr>
          <w:b w:val="0"/>
          <w:sz w:val="22"/>
          <w:lang w:val="en-US"/>
        </w:rPr>
        <w:t xml:space="preserve">. </w:t>
      </w:r>
      <w:r w:rsidR="00195784">
        <w:rPr>
          <w:b w:val="0"/>
          <w:sz w:val="22"/>
          <w:lang w:val="en-US"/>
        </w:rPr>
        <w:t>However</w:t>
      </w:r>
      <w:r w:rsidR="000E0C12">
        <w:rPr>
          <w:b w:val="0"/>
          <w:sz w:val="22"/>
          <w:lang w:val="en-US"/>
        </w:rPr>
        <w:t xml:space="preserve">, in this case, the serving cell does not change and </w:t>
      </w:r>
      <w:r w:rsidR="00195784">
        <w:rPr>
          <w:b w:val="0"/>
          <w:sz w:val="22"/>
          <w:lang w:val="en-US"/>
        </w:rPr>
        <w:t>it has a limitation on</w:t>
      </w:r>
      <w:r w:rsidR="000E0C12">
        <w:rPr>
          <w:b w:val="0"/>
          <w:sz w:val="22"/>
          <w:lang w:val="en-US"/>
        </w:rPr>
        <w:t xml:space="preserve"> </w:t>
      </w:r>
      <w:r w:rsidR="00195784">
        <w:rPr>
          <w:b w:val="0"/>
          <w:sz w:val="22"/>
          <w:lang w:val="en-US"/>
        </w:rPr>
        <w:t xml:space="preserve">UE </w:t>
      </w:r>
      <w:r w:rsidR="000E0C12">
        <w:rPr>
          <w:b w:val="0"/>
          <w:sz w:val="22"/>
          <w:lang w:val="en-US"/>
        </w:rPr>
        <w:t>mobility support and it leads that an RRC-based handover (HO) is inevitable once the UE mov</w:t>
      </w:r>
      <w:r w:rsidR="006C3092">
        <w:rPr>
          <w:b w:val="0"/>
          <w:sz w:val="22"/>
          <w:lang w:val="en-US"/>
        </w:rPr>
        <w:t xml:space="preserve">es out of serving cell </w:t>
      </w:r>
      <w:r w:rsidR="006C3092">
        <w:rPr>
          <w:b w:val="0"/>
          <w:sz w:val="22"/>
          <w:lang w:val="en-US"/>
        </w:rPr>
        <w:lastRenderedPageBreak/>
        <w:t>coverage</w:t>
      </w:r>
      <w:r w:rsidR="004F658D">
        <w:rPr>
          <w:b w:val="0"/>
          <w:sz w:val="22"/>
          <w:lang w:val="en-US"/>
        </w:rPr>
        <w:t>.</w:t>
      </w:r>
      <w:r w:rsidR="006C3092">
        <w:rPr>
          <w:b w:val="0"/>
          <w:sz w:val="22"/>
          <w:lang w:val="en-US"/>
        </w:rPr>
        <w:t xml:space="preserve"> </w:t>
      </w:r>
      <w:r w:rsidR="00454BE7">
        <w:rPr>
          <w:rFonts w:hint="eastAsia"/>
          <w:b w:val="0"/>
          <w:sz w:val="22"/>
          <w:lang w:val="en-US"/>
        </w:rPr>
        <w:t xml:space="preserve">In </w:t>
      </w:r>
      <w:r w:rsidR="00195784">
        <w:rPr>
          <w:b w:val="0"/>
          <w:sz w:val="22"/>
          <w:lang w:val="en-US"/>
        </w:rPr>
        <w:t xml:space="preserve">current </w:t>
      </w:r>
      <w:r w:rsidR="00454BE7">
        <w:rPr>
          <w:rFonts w:hint="eastAsia"/>
          <w:b w:val="0"/>
          <w:sz w:val="22"/>
          <w:lang w:val="en-US"/>
        </w:rPr>
        <w:t xml:space="preserve">NR </w:t>
      </w:r>
      <w:r w:rsidR="00195784">
        <w:rPr>
          <w:b w:val="0"/>
          <w:sz w:val="22"/>
          <w:lang w:val="en-US"/>
        </w:rPr>
        <w:t>sys</w:t>
      </w:r>
      <w:r w:rsidR="00454BE7">
        <w:rPr>
          <w:rFonts w:hint="eastAsia"/>
          <w:b w:val="0"/>
          <w:sz w:val="22"/>
          <w:lang w:val="en-US"/>
        </w:rPr>
        <w:t>tem, gNB can determine whether to</w:t>
      </w:r>
      <w:r w:rsidR="00454BE7">
        <w:rPr>
          <w:b w:val="0"/>
          <w:sz w:val="22"/>
          <w:lang w:val="en-US"/>
        </w:rPr>
        <w:t xml:space="preserve"> operate</w:t>
      </w:r>
      <w:r w:rsidR="00454BE7">
        <w:rPr>
          <w:rFonts w:hint="eastAsia"/>
          <w:b w:val="0"/>
          <w:sz w:val="22"/>
          <w:lang w:val="en-US"/>
        </w:rPr>
        <w:t xml:space="preserve"> </w:t>
      </w:r>
      <w:r w:rsidR="00454BE7">
        <w:rPr>
          <w:b w:val="0"/>
          <w:sz w:val="22"/>
          <w:lang w:val="en-US"/>
        </w:rPr>
        <w:t>handover</w:t>
      </w:r>
      <w:r w:rsidR="00454BE7">
        <w:rPr>
          <w:rFonts w:hint="eastAsia"/>
          <w:b w:val="0"/>
          <w:sz w:val="22"/>
          <w:lang w:val="en-US"/>
        </w:rPr>
        <w:t xml:space="preserve"> for UE </w:t>
      </w:r>
      <w:r w:rsidR="006F039F">
        <w:rPr>
          <w:b w:val="0"/>
          <w:sz w:val="22"/>
          <w:lang w:val="en-US"/>
        </w:rPr>
        <w:t xml:space="preserve">to change the serving cell </w:t>
      </w:r>
      <w:r w:rsidR="00454BE7">
        <w:rPr>
          <w:rFonts w:hint="eastAsia"/>
          <w:b w:val="0"/>
          <w:sz w:val="22"/>
          <w:lang w:val="en-US"/>
        </w:rPr>
        <w:t>based on the me</w:t>
      </w:r>
      <w:r w:rsidR="006F039F">
        <w:rPr>
          <w:rFonts w:hint="eastAsia"/>
          <w:b w:val="0"/>
          <w:sz w:val="22"/>
          <w:lang w:val="en-US"/>
        </w:rPr>
        <w:t>asurement reporting from the UE a</w:t>
      </w:r>
      <w:r w:rsidR="006F039F">
        <w:rPr>
          <w:b w:val="0"/>
          <w:sz w:val="22"/>
          <w:lang w:val="en-US"/>
        </w:rPr>
        <w:t>nd the HO procedure is shown in Figure 1 below.</w:t>
      </w:r>
    </w:p>
    <w:p w14:paraId="59EA2A32" w14:textId="46B70607" w:rsidR="00454BE7" w:rsidRDefault="00454BE7" w:rsidP="00454BE7">
      <w:pPr>
        <w:pStyle w:val="LGTdoc1"/>
        <w:snapToGrid/>
        <w:spacing w:beforeLines="0" w:before="100" w:beforeAutospacing="1" w:after="0" w:afterAutospacing="0" w:line="360" w:lineRule="auto"/>
        <w:contextualSpacing/>
        <w:rPr>
          <w:b w:val="0"/>
          <w:sz w:val="22"/>
          <w:lang w:val="en-US"/>
        </w:rPr>
      </w:pPr>
      <w:r>
        <w:rPr>
          <w:b w:val="0"/>
          <w:noProof/>
          <w:snapToGrid/>
          <w:sz w:val="22"/>
          <w:lang w:val="en-US"/>
        </w:rPr>
        <w:drawing>
          <wp:inline distT="0" distB="0" distL="0" distR="0" wp14:anchorId="766F0744" wp14:editId="55CA9105">
            <wp:extent cx="5732145" cy="1459865"/>
            <wp:effectExtent l="0" t="0" r="1905"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 procedure.jpg"/>
                    <pic:cNvPicPr/>
                  </pic:nvPicPr>
                  <pic:blipFill>
                    <a:blip r:embed="rId8">
                      <a:extLst>
                        <a:ext uri="{28A0092B-C50C-407E-A947-70E740481C1C}">
                          <a14:useLocalDpi xmlns:a14="http://schemas.microsoft.com/office/drawing/2010/main" val="0"/>
                        </a:ext>
                      </a:extLst>
                    </a:blip>
                    <a:stretch>
                      <a:fillRect/>
                    </a:stretch>
                  </pic:blipFill>
                  <pic:spPr>
                    <a:xfrm>
                      <a:off x="0" y="0"/>
                      <a:ext cx="5732145" cy="1459865"/>
                    </a:xfrm>
                    <a:prstGeom prst="rect">
                      <a:avLst/>
                    </a:prstGeom>
                  </pic:spPr>
                </pic:pic>
              </a:graphicData>
            </a:graphic>
          </wp:inline>
        </w:drawing>
      </w:r>
    </w:p>
    <w:p w14:paraId="572A5F4E" w14:textId="0FF855C1" w:rsidR="00454BE7" w:rsidRPr="004F658D" w:rsidRDefault="00454BE7" w:rsidP="00454BE7">
      <w:pPr>
        <w:pStyle w:val="LGTdoc1"/>
        <w:snapToGrid/>
        <w:spacing w:beforeLines="0" w:before="100" w:beforeAutospacing="1" w:after="0" w:afterAutospacing="0" w:line="360" w:lineRule="auto"/>
        <w:ind w:firstLineChars="150" w:firstLine="324"/>
        <w:contextualSpacing/>
        <w:jc w:val="center"/>
        <w:rPr>
          <w:sz w:val="22"/>
          <w:lang w:val="en-US"/>
        </w:rPr>
      </w:pPr>
      <w:r w:rsidRPr="004F658D">
        <w:rPr>
          <w:rFonts w:hint="eastAsia"/>
          <w:sz w:val="22"/>
          <w:lang w:val="en-US"/>
        </w:rPr>
        <w:t xml:space="preserve">Figure 1. </w:t>
      </w:r>
      <w:r w:rsidR="006A416C">
        <w:rPr>
          <w:sz w:val="22"/>
          <w:lang w:val="en-US"/>
        </w:rPr>
        <w:t>Legacy s</w:t>
      </w:r>
      <w:r w:rsidRPr="004F658D">
        <w:rPr>
          <w:rFonts w:hint="eastAsia"/>
          <w:sz w:val="22"/>
          <w:lang w:val="en-US"/>
        </w:rPr>
        <w:t>ignaling procedure for HO between gNB and UE</w:t>
      </w:r>
    </w:p>
    <w:p w14:paraId="076F0574" w14:textId="77777777" w:rsidR="004F658D" w:rsidRPr="006B074A" w:rsidRDefault="004F658D" w:rsidP="00466D36">
      <w:pPr>
        <w:pStyle w:val="LGTdoc1"/>
        <w:snapToGrid/>
        <w:spacing w:beforeLines="0" w:before="100" w:beforeAutospacing="1" w:after="0" w:afterAutospacing="0" w:line="360" w:lineRule="auto"/>
        <w:contextualSpacing/>
        <w:rPr>
          <w:b w:val="0"/>
          <w:sz w:val="22"/>
          <w:lang w:val="en-US"/>
        </w:rPr>
      </w:pPr>
    </w:p>
    <w:p w14:paraId="5C0A2214" w14:textId="273FF8EA" w:rsidR="001B185A" w:rsidRDefault="00466D36" w:rsidP="00466D36">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RRC reconfiguration (measurement) is </w:t>
      </w:r>
      <w:r>
        <w:rPr>
          <w:b w:val="0"/>
          <w:sz w:val="22"/>
          <w:lang w:val="en-US"/>
        </w:rPr>
        <w:t xml:space="preserve">for a new measurement target and related settings for HO to the UE while the UE is in the ‘connected’ mode. In this configuration, </w:t>
      </w:r>
      <w:r w:rsidRPr="001B185A">
        <w:rPr>
          <w:b w:val="0"/>
          <w:i/>
          <w:sz w:val="22"/>
          <w:lang w:val="en-US"/>
        </w:rPr>
        <w:t>ReportConfigNR</w:t>
      </w:r>
      <w:r w:rsidR="001B185A">
        <w:rPr>
          <w:b w:val="0"/>
          <w:sz w:val="22"/>
          <w:lang w:val="en-US"/>
        </w:rPr>
        <w:t xml:space="preserve"> can be included where the IE specifies criteria for triggering of an NR measurement reporting events as below.</w:t>
      </w:r>
    </w:p>
    <w:tbl>
      <w:tblPr>
        <w:tblStyle w:val="ad"/>
        <w:tblW w:w="0" w:type="auto"/>
        <w:tblLook w:val="04A0" w:firstRow="1" w:lastRow="0" w:firstColumn="1" w:lastColumn="0" w:noHBand="0" w:noVBand="1"/>
      </w:tblPr>
      <w:tblGrid>
        <w:gridCol w:w="9017"/>
      </w:tblGrid>
      <w:tr w:rsidR="001B185A" w:rsidRPr="001A4281" w14:paraId="60A6062A" w14:textId="77777777" w:rsidTr="001B185A">
        <w:tc>
          <w:tcPr>
            <w:tcW w:w="9017" w:type="dxa"/>
          </w:tcPr>
          <w:p w14:paraId="2BEF6E35" w14:textId="46C1E4B6" w:rsidR="001B185A" w:rsidRPr="001B185A" w:rsidRDefault="001B185A" w:rsidP="005C7AD3">
            <w:pPr>
              <w:keepNext/>
              <w:keepLines/>
              <w:overflowPunct w:val="0"/>
              <w:autoSpaceDE w:val="0"/>
              <w:autoSpaceDN w:val="0"/>
              <w:spacing w:before="120" w:after="180"/>
              <w:ind w:left="1418" w:hanging="1418"/>
              <w:textAlignment w:val="baseline"/>
              <w:outlineLvl w:val="3"/>
              <w:rPr>
                <w:rFonts w:ascii="Arial" w:eastAsiaTheme="majorHAnsi" w:hAnsi="Arial" w:cs="Arial"/>
                <w:lang w:val="en-GB" w:eastAsia="ja-JP"/>
              </w:rPr>
            </w:pPr>
            <w:r>
              <w:rPr>
                <w:b/>
                <w:sz w:val="22"/>
              </w:rPr>
              <w:t xml:space="preserve"> </w:t>
            </w:r>
            <w:r w:rsidRPr="001B185A">
              <w:rPr>
                <w:rFonts w:ascii="Arial" w:eastAsiaTheme="majorHAnsi" w:hAnsi="Arial" w:cs="Arial"/>
                <w:i/>
                <w:lang w:val="en-GB" w:eastAsia="ja-JP"/>
              </w:rPr>
              <w:t xml:space="preserve">ReportConfigNR </w:t>
            </w:r>
            <w:r w:rsidRPr="001B185A">
              <w:rPr>
                <w:rFonts w:ascii="Arial" w:eastAsiaTheme="majorHAnsi" w:hAnsi="Arial" w:cs="Arial"/>
                <w:lang w:val="en-GB" w:eastAsia="ja-JP"/>
              </w:rPr>
              <w:t>(TS38.331, clause 6.3.2)</w:t>
            </w:r>
          </w:p>
          <w:p w14:paraId="1B63AFF0" w14:textId="77777777" w:rsidR="001B185A" w:rsidRPr="001B185A" w:rsidRDefault="001B185A" w:rsidP="005C7AD3">
            <w:pPr>
              <w:overflowPunct w:val="0"/>
              <w:autoSpaceDE w:val="0"/>
              <w:autoSpaceDN w:val="0"/>
              <w:spacing w:after="180"/>
              <w:textAlignment w:val="baseline"/>
              <w:rPr>
                <w:rFonts w:ascii="Times New Roman" w:eastAsia="MS Mincho" w:hAnsi="Times New Roman"/>
                <w:sz w:val="18"/>
                <w:szCs w:val="18"/>
                <w:lang w:val="en-GB" w:eastAsia="ja-JP"/>
              </w:rPr>
            </w:pPr>
            <w:r w:rsidRPr="001B185A">
              <w:rPr>
                <w:rFonts w:ascii="Times New Roman" w:eastAsia="Times New Roman" w:hAnsi="Times New Roman"/>
                <w:sz w:val="18"/>
                <w:szCs w:val="18"/>
                <w:lang w:val="en-GB" w:eastAsia="ja-JP"/>
              </w:rPr>
              <w:t xml:space="preserve">The IE </w:t>
            </w:r>
            <w:r w:rsidRPr="001B185A">
              <w:rPr>
                <w:rFonts w:ascii="Times New Roman" w:eastAsia="Times New Roman" w:hAnsi="Times New Roman"/>
                <w:i/>
                <w:sz w:val="18"/>
                <w:szCs w:val="18"/>
                <w:lang w:val="en-GB" w:eastAsia="ja-JP"/>
              </w:rPr>
              <w:t>ReportConfigNR</w:t>
            </w:r>
            <w:r w:rsidRPr="001B185A">
              <w:rPr>
                <w:rFonts w:ascii="Times New Roman" w:eastAsia="Times New Roman" w:hAnsi="Times New Roman"/>
                <w:sz w:val="18"/>
                <w:szCs w:val="18"/>
                <w:lang w:val="en-GB" w:eastAsia="ja-JP"/>
              </w:rP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5A614501"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A1:</w:t>
            </w:r>
            <w:r w:rsidRPr="001B185A">
              <w:rPr>
                <w:rFonts w:ascii="Times New Roman" w:eastAsia="Times New Roman" w:hAnsi="Times New Roman"/>
                <w:sz w:val="18"/>
                <w:szCs w:val="18"/>
                <w:lang w:val="en-GB" w:eastAsia="ja-JP"/>
              </w:rPr>
              <w:tab/>
              <w:t>Serving becomes better than absolute threshold;</w:t>
            </w:r>
          </w:p>
          <w:p w14:paraId="60A127C1"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A2:</w:t>
            </w:r>
            <w:r w:rsidRPr="001B185A">
              <w:rPr>
                <w:rFonts w:ascii="Times New Roman" w:eastAsia="Times New Roman" w:hAnsi="Times New Roman"/>
                <w:sz w:val="18"/>
                <w:szCs w:val="18"/>
                <w:lang w:val="en-GB" w:eastAsia="ja-JP"/>
              </w:rPr>
              <w:tab/>
              <w:t>Serving becomes worse than absolute threshold;</w:t>
            </w:r>
          </w:p>
          <w:p w14:paraId="217F02A3"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A3:</w:t>
            </w:r>
            <w:r w:rsidRPr="001B185A">
              <w:rPr>
                <w:rFonts w:ascii="Times New Roman" w:eastAsia="Times New Roman" w:hAnsi="Times New Roman"/>
                <w:sz w:val="18"/>
                <w:szCs w:val="18"/>
                <w:lang w:val="en-GB" w:eastAsia="ja-JP"/>
              </w:rPr>
              <w:tab/>
              <w:t>Neighbour becomes amount of offset better than PCell/PSCell;</w:t>
            </w:r>
          </w:p>
          <w:p w14:paraId="2094F3CB"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A4:</w:t>
            </w:r>
            <w:r w:rsidRPr="001B185A">
              <w:rPr>
                <w:rFonts w:ascii="Times New Roman" w:eastAsia="Times New Roman" w:hAnsi="Times New Roman"/>
                <w:sz w:val="18"/>
                <w:szCs w:val="18"/>
                <w:lang w:val="en-GB" w:eastAsia="ja-JP"/>
              </w:rPr>
              <w:tab/>
              <w:t>Neighbour becomes better than absolute threshold;</w:t>
            </w:r>
          </w:p>
          <w:p w14:paraId="0D597EA7"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A5:</w:t>
            </w:r>
            <w:r w:rsidRPr="001B185A">
              <w:rPr>
                <w:rFonts w:ascii="Times New Roman" w:eastAsia="Times New Roman" w:hAnsi="Times New Roman"/>
                <w:sz w:val="18"/>
                <w:szCs w:val="18"/>
                <w:lang w:val="en-GB" w:eastAsia="ja-JP"/>
              </w:rPr>
              <w:tab/>
              <w:t>PCell/PSCell becomes worse than absolute threshold1 AND Neighbour/SCell becomes better than another absolute threshold2;</w:t>
            </w:r>
          </w:p>
          <w:p w14:paraId="3D5C8038"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Event A6:</w:t>
            </w:r>
            <w:r w:rsidRPr="001B185A">
              <w:rPr>
                <w:rFonts w:ascii="Times New Roman" w:eastAsia="Times New Roman" w:hAnsi="Times New Roman"/>
                <w:sz w:val="18"/>
                <w:szCs w:val="18"/>
                <w:lang w:val="en-GB" w:eastAsia="ja-JP"/>
              </w:rPr>
              <w:tab/>
              <w:t>Neighbour becomes amount of offset better than SCell;</w:t>
            </w:r>
          </w:p>
          <w:p w14:paraId="20AFBCFC"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CondEvent A3: Conditional reconfiguration candidate becomes amount of offset better than PCell/PSCell;</w:t>
            </w:r>
          </w:p>
          <w:p w14:paraId="10F1E4D2" w14:textId="77777777" w:rsidR="001B185A" w:rsidRPr="001B185A" w:rsidRDefault="001B185A" w:rsidP="005C7AD3">
            <w:pPr>
              <w:overflowPunct w:val="0"/>
              <w:autoSpaceDE w:val="0"/>
              <w:autoSpaceDN w:val="0"/>
              <w:spacing w:after="180"/>
              <w:ind w:left="568" w:hanging="284"/>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CondEvent A5: PCell/PSCell becomes worse than absolute threshold1 AND Conditional reconfiguration candidate becomes better than another absolute threshold2;</w:t>
            </w:r>
          </w:p>
          <w:p w14:paraId="2AE3F487" w14:textId="77777777" w:rsidR="001B185A" w:rsidRPr="001B185A" w:rsidRDefault="001B185A" w:rsidP="005C7AD3">
            <w:pPr>
              <w:overflowPunct w:val="0"/>
              <w:autoSpaceDE w:val="0"/>
              <w:autoSpaceDN w:val="0"/>
              <w:spacing w:after="180"/>
              <w:textAlignment w:val="baseline"/>
              <w:rPr>
                <w:rFonts w:ascii="Times New Roman" w:eastAsia="Times New Roman" w:hAnsi="Times New Roman"/>
                <w:sz w:val="18"/>
                <w:szCs w:val="18"/>
                <w:lang w:val="en-GB" w:eastAsia="ja-JP"/>
              </w:rPr>
            </w:pPr>
            <w:r w:rsidRPr="001B185A">
              <w:rPr>
                <w:rFonts w:ascii="Times New Roman" w:eastAsia="Times New Roman" w:hAnsi="Times New Roman"/>
                <w:sz w:val="18"/>
                <w:szCs w:val="18"/>
                <w:lang w:val="en-GB" w:eastAsia="ja-JP"/>
              </w:rPr>
              <w:t>For event I1, measurement reporting event is based on CLI measurement results, which can either be derived based on SRS-RSRP or CLI-RSSI.</w:t>
            </w:r>
          </w:p>
          <w:p w14:paraId="0628A747" w14:textId="77777777" w:rsidR="001B185A" w:rsidRPr="001A4281" w:rsidRDefault="001B185A" w:rsidP="005C7AD3">
            <w:pPr>
              <w:overflowPunct w:val="0"/>
              <w:autoSpaceDE w:val="0"/>
              <w:autoSpaceDN w:val="0"/>
              <w:spacing w:after="180"/>
              <w:ind w:left="568" w:hanging="284"/>
              <w:textAlignment w:val="baseline"/>
              <w:rPr>
                <w:rFonts w:asciiTheme="minorEastAsia" w:eastAsiaTheme="minorEastAsia" w:hAnsiTheme="minorEastAsia"/>
                <w:lang w:val="en-GB"/>
              </w:rPr>
            </w:pPr>
            <w:r w:rsidRPr="001B185A">
              <w:rPr>
                <w:rFonts w:ascii="Times New Roman" w:eastAsia="Times New Roman" w:hAnsi="Times New Roman"/>
                <w:sz w:val="18"/>
                <w:szCs w:val="18"/>
                <w:lang w:val="en-GB" w:eastAsia="ja-JP"/>
              </w:rPr>
              <w:t>Event I1:</w:t>
            </w:r>
            <w:r w:rsidRPr="001B185A">
              <w:rPr>
                <w:rFonts w:ascii="Times New Roman" w:eastAsia="Times New Roman" w:hAnsi="Times New Roman"/>
                <w:sz w:val="18"/>
                <w:szCs w:val="18"/>
                <w:lang w:val="en-GB" w:eastAsia="ja-JP"/>
              </w:rPr>
              <w:tab/>
              <w:t>Interference becomes higher than absolute threshold.</w:t>
            </w:r>
          </w:p>
        </w:tc>
      </w:tr>
    </w:tbl>
    <w:p w14:paraId="787C2FD7" w14:textId="77777777" w:rsidR="004F658D" w:rsidRDefault="001B185A" w:rsidP="004F658D">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According to the setting and reporting criterion, the UE may perform an operation of reporting a RRM measurement value which is managed by </w:t>
      </w:r>
      <w:r>
        <w:rPr>
          <w:b w:val="0"/>
          <w:sz w:val="22"/>
          <w:lang w:val="en-US"/>
        </w:rPr>
        <w:t>L3, as shown in measurement reporting in Figure 1. Based on this, gNB gives the UE a HO command.</w:t>
      </w:r>
      <w:r w:rsidR="004F658D">
        <w:rPr>
          <w:b w:val="0"/>
          <w:sz w:val="22"/>
          <w:lang w:val="en-US"/>
        </w:rPr>
        <w:t xml:space="preserve"> </w:t>
      </w:r>
    </w:p>
    <w:p w14:paraId="13FE293E" w14:textId="0ED8C8B1" w:rsidR="004F658D" w:rsidRDefault="003702CC" w:rsidP="004F658D">
      <w:pPr>
        <w:pStyle w:val="LGTdoc1"/>
        <w:snapToGrid/>
        <w:spacing w:beforeLines="0" w:before="100" w:beforeAutospacing="1" w:after="0" w:afterAutospacing="0" w:line="360" w:lineRule="auto"/>
        <w:ind w:firstLineChars="150" w:firstLine="330"/>
        <w:contextualSpacing/>
        <w:rPr>
          <w:b w:val="0"/>
          <w:sz w:val="22"/>
          <w:lang w:val="en-US"/>
        </w:rPr>
      </w:pPr>
      <w:r>
        <w:rPr>
          <w:b w:val="0"/>
          <w:sz w:val="22"/>
        </w:rPr>
        <w:t xml:space="preserve">In RAN1#110bis-e, </w:t>
      </w:r>
      <w:r w:rsidR="00074424">
        <w:rPr>
          <w:b w:val="0"/>
          <w:sz w:val="22"/>
        </w:rPr>
        <w:t xml:space="preserve">UE/event triggered report for L1 measurement was intensively discussed. </w:t>
      </w:r>
      <w:r w:rsidR="00C07FC7">
        <w:rPr>
          <w:b w:val="0"/>
          <w:sz w:val="22"/>
        </w:rPr>
        <w:t xml:space="preserve">Regarding L1 reporting for inter-cell operation, event-based reporting analogous to L3 measurement </w:t>
      </w:r>
      <w:r w:rsidR="00C07FC7">
        <w:rPr>
          <w:b w:val="0"/>
          <w:sz w:val="22"/>
        </w:rPr>
        <w:lastRenderedPageBreak/>
        <w:t xml:space="preserve">and reporting procedure would be efficient since beam report for non-serving cell would not always needed. For this L1 reporting, the defined triggering condition(s) based on the cell quality for measurement reporting can be replaced with the condition(s) based on L1 beam quality, e.g. for modified (beam quality based) Event A3 triggering in </w:t>
      </w:r>
      <w:r w:rsidR="00C07FC7">
        <w:rPr>
          <w:b w:val="0"/>
          <w:i/>
          <w:sz w:val="22"/>
        </w:rPr>
        <w:t>ReportConfigNR</w:t>
      </w:r>
      <w:r w:rsidR="00C07FC7">
        <w:rPr>
          <w:b w:val="0"/>
          <w:sz w:val="22"/>
        </w:rPr>
        <w:t>. When the event is occurred, serving cell beam report could be replaced by non-serving cell beam report or non-serving cell beam report can be added into the serving cell report.</w:t>
      </w:r>
      <w:r w:rsidR="004F658D">
        <w:rPr>
          <w:b w:val="0"/>
          <w:sz w:val="22"/>
          <w:lang w:val="en-US"/>
        </w:rPr>
        <w:t xml:space="preserve"> In case of conventional HO with L3 based reporting, it causes the signaling overhead/latency problem compared to L1 based reporting. </w:t>
      </w:r>
    </w:p>
    <w:p w14:paraId="15941340" w14:textId="77777777" w:rsidR="00C07FC7" w:rsidRDefault="00C07FC7" w:rsidP="00AE0062">
      <w:pPr>
        <w:pStyle w:val="LGTdoc1"/>
        <w:snapToGrid/>
        <w:spacing w:line="360" w:lineRule="auto"/>
        <w:contextualSpacing/>
        <w:rPr>
          <w:sz w:val="22"/>
        </w:rPr>
      </w:pPr>
    </w:p>
    <w:p w14:paraId="1C3C9AF9" w14:textId="1A8C1E6C" w:rsidR="00043CB8" w:rsidRPr="00C07FC7" w:rsidRDefault="00043CB8" w:rsidP="00043CB8">
      <w:pPr>
        <w:pStyle w:val="LGTdoc1"/>
        <w:snapToGrid/>
        <w:spacing w:line="360" w:lineRule="auto"/>
        <w:contextualSpacing/>
        <w:rPr>
          <w:sz w:val="22"/>
        </w:rPr>
      </w:pPr>
      <w:r>
        <w:rPr>
          <w:sz w:val="22"/>
        </w:rPr>
        <w:t>Proposal</w:t>
      </w:r>
      <w:r w:rsidR="00C86836">
        <w:rPr>
          <w:sz w:val="22"/>
        </w:rPr>
        <w:t xml:space="preserve"> #1</w:t>
      </w:r>
      <w:r>
        <w:rPr>
          <w:sz w:val="22"/>
        </w:rPr>
        <w:t>: Consider</w:t>
      </w:r>
      <w:r w:rsidR="007C1EAE" w:rsidRPr="007C1EAE">
        <w:rPr>
          <w:sz w:val="22"/>
        </w:rPr>
        <w:t xml:space="preserve"> </w:t>
      </w:r>
      <w:r w:rsidR="007C1EAE">
        <w:rPr>
          <w:sz w:val="22"/>
        </w:rPr>
        <w:t>event-driven</w:t>
      </w:r>
      <w:r>
        <w:rPr>
          <w:sz w:val="22"/>
        </w:rPr>
        <w:t xml:space="preserve"> L1-based </w:t>
      </w:r>
      <w:r w:rsidR="00427B44">
        <w:rPr>
          <w:sz w:val="22"/>
        </w:rPr>
        <w:t xml:space="preserve">beam </w:t>
      </w:r>
      <w:r>
        <w:rPr>
          <w:sz w:val="22"/>
        </w:rPr>
        <w:t xml:space="preserve">reporting </w:t>
      </w:r>
      <w:r w:rsidR="00427B44">
        <w:rPr>
          <w:sz w:val="22"/>
        </w:rPr>
        <w:t xml:space="preserve">for </w:t>
      </w:r>
      <w:r w:rsidR="007C1EAE">
        <w:rPr>
          <w:sz w:val="22"/>
        </w:rPr>
        <w:t>non-serving cells</w:t>
      </w:r>
      <w:r w:rsidR="0028268D">
        <w:rPr>
          <w:sz w:val="22"/>
        </w:rPr>
        <w:t xml:space="preserve"> and study how to extend </w:t>
      </w:r>
      <w:r>
        <w:rPr>
          <w:sz w:val="22"/>
        </w:rPr>
        <w:t>conventional L3 criteria for triggering of an</w:t>
      </w:r>
      <w:r w:rsidR="00E5409B">
        <w:rPr>
          <w:sz w:val="22"/>
        </w:rPr>
        <w:t xml:space="preserve"> NR measurement reporting event for L1-based beam reporting.</w:t>
      </w:r>
    </w:p>
    <w:p w14:paraId="4B872FAB" w14:textId="77777777" w:rsidR="00043CB8" w:rsidRDefault="00043CB8" w:rsidP="00C07FC7">
      <w:pPr>
        <w:pStyle w:val="LGTdoc1"/>
        <w:snapToGrid/>
        <w:spacing w:line="360" w:lineRule="auto"/>
        <w:contextualSpacing/>
        <w:rPr>
          <w:sz w:val="22"/>
        </w:rPr>
      </w:pPr>
    </w:p>
    <w:p w14:paraId="7573CDFB" w14:textId="6247BB96" w:rsidR="00C86836" w:rsidRDefault="00C86836" w:rsidP="00853EC9">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Along with the above, the necessity of filtering L1 measurement for mobility robus</w:t>
      </w:r>
      <w:r w:rsidR="00B85BD5">
        <w:rPr>
          <w:b w:val="0"/>
          <w:sz w:val="22"/>
          <w:lang w:val="en-US"/>
        </w:rPr>
        <w:t xml:space="preserve">tness, i.e., ping-pong issue was </w:t>
      </w:r>
      <w:r w:rsidR="00074424">
        <w:rPr>
          <w:b w:val="0"/>
          <w:sz w:val="22"/>
          <w:lang w:val="en-US"/>
        </w:rPr>
        <w:t xml:space="preserve">also </w:t>
      </w:r>
      <w:r w:rsidR="00B85BD5">
        <w:rPr>
          <w:b w:val="0"/>
          <w:sz w:val="22"/>
          <w:lang w:val="en-US"/>
        </w:rPr>
        <w:t>discussed</w:t>
      </w:r>
      <w:r w:rsidR="00853EC9">
        <w:rPr>
          <w:b w:val="0"/>
          <w:sz w:val="22"/>
          <w:lang w:val="en-US"/>
        </w:rPr>
        <w:t>. When the HO event trigger condition is replaced from the L3 to the L1 perspective based on L1 measurement reporting only,</w:t>
      </w:r>
      <w:r w:rsidR="00853EC9">
        <w:rPr>
          <w:rFonts w:hint="eastAsia"/>
          <w:b w:val="0"/>
          <w:sz w:val="22"/>
          <w:lang w:val="en-US"/>
        </w:rPr>
        <w:t xml:space="preserve"> </w:t>
      </w:r>
      <w:r w:rsidR="00853EC9">
        <w:rPr>
          <w:b w:val="0"/>
          <w:sz w:val="22"/>
          <w:lang w:val="en-US"/>
        </w:rPr>
        <w:t>the HO is performed more frequently due to the short term information on the beam quality value</w:t>
      </w:r>
      <w:r w:rsidR="00853EC9">
        <w:rPr>
          <w:rFonts w:hint="eastAsia"/>
          <w:b w:val="0"/>
          <w:sz w:val="22"/>
          <w:lang w:val="en-US"/>
        </w:rPr>
        <w:t>.</w:t>
      </w:r>
      <w:r w:rsidR="00022142">
        <w:rPr>
          <w:b w:val="0"/>
          <w:sz w:val="22"/>
          <w:lang w:val="en-US"/>
        </w:rPr>
        <w:t xml:space="preserve"> To handle this issue, </w:t>
      </w:r>
      <w:r w:rsidR="00465820">
        <w:rPr>
          <w:b w:val="0"/>
          <w:sz w:val="22"/>
          <w:lang w:val="en-US"/>
        </w:rPr>
        <w:t xml:space="preserve">it can be </w:t>
      </w:r>
      <w:r w:rsidR="00022142">
        <w:rPr>
          <w:b w:val="0"/>
          <w:sz w:val="22"/>
          <w:lang w:val="en-US"/>
        </w:rPr>
        <w:t>considered</w:t>
      </w:r>
      <w:r w:rsidR="00465820">
        <w:rPr>
          <w:b w:val="0"/>
          <w:sz w:val="22"/>
          <w:lang w:val="en-US"/>
        </w:rPr>
        <w:t xml:space="preserve"> </w:t>
      </w:r>
      <w:r w:rsidR="00FB496F">
        <w:rPr>
          <w:b w:val="0"/>
          <w:sz w:val="22"/>
          <w:lang w:val="en-US"/>
        </w:rPr>
        <w:t xml:space="preserve">to add/modify the threshold and offset </w:t>
      </w:r>
      <w:r w:rsidR="008D1F95">
        <w:rPr>
          <w:rFonts w:hint="eastAsia"/>
          <w:b w:val="0"/>
          <w:sz w:val="22"/>
          <w:lang w:val="en-US"/>
        </w:rPr>
        <w:t>for</w:t>
      </w:r>
      <w:r w:rsidR="00FB496F">
        <w:rPr>
          <w:b w:val="0"/>
          <w:sz w:val="22"/>
          <w:lang w:val="en-US"/>
        </w:rPr>
        <w:t xml:space="preserve"> the beam quality </w:t>
      </w:r>
      <w:r w:rsidR="008D1F95">
        <w:rPr>
          <w:b w:val="0"/>
          <w:sz w:val="22"/>
          <w:lang w:val="en-US"/>
        </w:rPr>
        <w:t xml:space="preserve">as event triggering conditions in </w:t>
      </w:r>
      <w:r w:rsidR="008D1F95">
        <w:rPr>
          <w:b w:val="0"/>
          <w:i/>
          <w:sz w:val="22"/>
        </w:rPr>
        <w:t>ReportConfigNR</w:t>
      </w:r>
      <w:r w:rsidR="008D1F95">
        <w:rPr>
          <w:b w:val="0"/>
          <w:sz w:val="22"/>
          <w:lang w:val="en-US"/>
        </w:rPr>
        <w:t xml:space="preserve"> </w:t>
      </w:r>
      <w:r w:rsidR="00FB496F">
        <w:rPr>
          <w:b w:val="0"/>
          <w:sz w:val="22"/>
          <w:lang w:val="en-US"/>
        </w:rPr>
        <w:t>since the threshold and offset is based only on the cell quality from the L3 perspective</w:t>
      </w:r>
      <w:r w:rsidR="00E820BF">
        <w:rPr>
          <w:b w:val="0"/>
          <w:sz w:val="22"/>
          <w:lang w:val="en-US"/>
        </w:rPr>
        <w:t xml:space="preserve"> in legacy</w:t>
      </w:r>
      <w:r w:rsidR="00FB496F">
        <w:rPr>
          <w:b w:val="0"/>
          <w:sz w:val="22"/>
          <w:lang w:val="en-US"/>
        </w:rPr>
        <w:t xml:space="preserve">. </w:t>
      </w:r>
      <w:r w:rsidR="00022142">
        <w:rPr>
          <w:b w:val="0"/>
          <w:sz w:val="22"/>
          <w:lang w:val="en-US"/>
        </w:rPr>
        <w:t xml:space="preserve">Also, it would be possible to check the event triggering condition according to a specific time period or a number of measurement samples. Regarding the specific time period, it can be based on ‘time to trigger’ operation in the existing HO operation where </w:t>
      </w:r>
      <w:r w:rsidR="00465820">
        <w:rPr>
          <w:b w:val="0"/>
          <w:sz w:val="22"/>
          <w:lang w:val="en-US"/>
        </w:rPr>
        <w:t>it checks whether the same triggering condition is satisfied in N times (i.e. reportAmount)</w:t>
      </w:r>
      <w:r w:rsidR="00B06844">
        <w:rPr>
          <w:b w:val="0"/>
          <w:sz w:val="22"/>
          <w:lang w:val="en-US"/>
        </w:rPr>
        <w:t xml:space="preserve"> consecutively in terms of beam quality value</w:t>
      </w:r>
      <w:r w:rsidR="00465820">
        <w:rPr>
          <w:b w:val="0"/>
          <w:sz w:val="22"/>
          <w:lang w:val="en-US"/>
        </w:rPr>
        <w:t xml:space="preserve"> at a specific duration interval (i.e. reportInterval) for measurement reporting.</w:t>
      </w:r>
    </w:p>
    <w:p w14:paraId="26C53257" w14:textId="77777777" w:rsidR="00C86836" w:rsidRDefault="00C86836" w:rsidP="00C07FC7">
      <w:pPr>
        <w:pStyle w:val="LGTdoc1"/>
        <w:snapToGrid/>
        <w:spacing w:line="360" w:lineRule="auto"/>
        <w:contextualSpacing/>
        <w:rPr>
          <w:sz w:val="22"/>
        </w:rPr>
      </w:pPr>
    </w:p>
    <w:p w14:paraId="67996EBE" w14:textId="3EF25721" w:rsidR="00B85BD5" w:rsidRDefault="00B85BD5" w:rsidP="00B85BD5">
      <w:pPr>
        <w:pStyle w:val="LGTdoc1"/>
        <w:snapToGrid/>
        <w:spacing w:line="360" w:lineRule="auto"/>
        <w:contextualSpacing/>
        <w:rPr>
          <w:sz w:val="22"/>
        </w:rPr>
      </w:pPr>
      <w:r>
        <w:rPr>
          <w:sz w:val="22"/>
        </w:rPr>
        <w:t>Proposal #2: Consider</w:t>
      </w:r>
      <w:r w:rsidRPr="007C1EAE">
        <w:rPr>
          <w:sz w:val="22"/>
        </w:rPr>
        <w:t xml:space="preserve"> </w:t>
      </w:r>
      <w:r w:rsidR="00853EC9">
        <w:rPr>
          <w:sz w:val="22"/>
        </w:rPr>
        <w:t>filtering L1 measurement re</w:t>
      </w:r>
      <w:r w:rsidR="00B06844">
        <w:rPr>
          <w:sz w:val="22"/>
        </w:rPr>
        <w:t>sults</w:t>
      </w:r>
      <w:r w:rsidR="00853EC9">
        <w:rPr>
          <w:sz w:val="22"/>
        </w:rPr>
        <w:t xml:space="preserve"> to mitigate ‘ping-pong’ issue </w:t>
      </w:r>
      <w:r w:rsidR="00751664">
        <w:rPr>
          <w:sz w:val="22"/>
        </w:rPr>
        <w:t>by taking into account</w:t>
      </w:r>
      <w:r w:rsidR="00B06844">
        <w:rPr>
          <w:sz w:val="22"/>
        </w:rPr>
        <w:t xml:space="preserve"> the followings</w:t>
      </w:r>
      <w:r>
        <w:rPr>
          <w:sz w:val="22"/>
        </w:rPr>
        <w:t>.</w:t>
      </w:r>
    </w:p>
    <w:p w14:paraId="6534C37F" w14:textId="659558E7" w:rsidR="00B06844" w:rsidRDefault="00B06844" w:rsidP="00B06844">
      <w:pPr>
        <w:pStyle w:val="LGTdoc1"/>
        <w:numPr>
          <w:ilvl w:val="1"/>
          <w:numId w:val="44"/>
        </w:numPr>
        <w:snapToGrid/>
        <w:spacing w:line="360" w:lineRule="auto"/>
        <w:contextualSpacing/>
        <w:rPr>
          <w:sz w:val="22"/>
        </w:rPr>
      </w:pPr>
      <w:r>
        <w:rPr>
          <w:sz w:val="22"/>
        </w:rPr>
        <w:t xml:space="preserve">Add or modify event triggering condition in </w:t>
      </w:r>
      <w:r w:rsidRPr="00B06844">
        <w:rPr>
          <w:i/>
          <w:sz w:val="22"/>
        </w:rPr>
        <w:t>ReportConfigNR</w:t>
      </w:r>
      <w:r>
        <w:rPr>
          <w:sz w:val="22"/>
        </w:rPr>
        <w:t xml:space="preserve"> with L1-based threshold/offset</w:t>
      </w:r>
    </w:p>
    <w:p w14:paraId="2D808124" w14:textId="26969BAC" w:rsidR="00B06844" w:rsidRPr="00C07FC7" w:rsidRDefault="00B06844" w:rsidP="00B06844">
      <w:pPr>
        <w:pStyle w:val="LGTdoc1"/>
        <w:numPr>
          <w:ilvl w:val="1"/>
          <w:numId w:val="44"/>
        </w:numPr>
        <w:snapToGrid/>
        <w:spacing w:line="360" w:lineRule="auto"/>
        <w:contextualSpacing/>
        <w:rPr>
          <w:sz w:val="22"/>
        </w:rPr>
      </w:pPr>
      <w:r>
        <w:rPr>
          <w:sz w:val="22"/>
        </w:rPr>
        <w:t>Check event triggering condition in terms of beam quality based on ‘time to trigger’ operation</w:t>
      </w:r>
    </w:p>
    <w:p w14:paraId="277250FB" w14:textId="77777777" w:rsidR="00B85BD5" w:rsidRPr="00B85BD5" w:rsidRDefault="00B85BD5" w:rsidP="00C07FC7">
      <w:pPr>
        <w:pStyle w:val="LGTdoc1"/>
        <w:snapToGrid/>
        <w:spacing w:line="360" w:lineRule="auto"/>
        <w:contextualSpacing/>
        <w:rPr>
          <w:sz w:val="22"/>
        </w:rPr>
      </w:pP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r w:rsidRPr="00475EA3">
        <w:rPr>
          <w:rFonts w:ascii="Times New Roman" w:hAnsi="Times New Roman" w:cs="Times New Roman"/>
          <w:color w:val="auto"/>
          <w:sz w:val="32"/>
          <w:lang w:val="en-US" w:eastAsia="ko-KR"/>
        </w:rPr>
        <w:lastRenderedPageBreak/>
        <w:t>Conclusion</w:t>
      </w:r>
    </w:p>
    <w:p w14:paraId="2374FC14" w14:textId="2F40D577"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 xml:space="preserve">In this contribution, we have discussed the potential enhancements on </w:t>
      </w:r>
      <w:r w:rsidR="00AE0062">
        <w:rPr>
          <w:b w:val="0"/>
          <w:sz w:val="22"/>
          <w:lang w:val="en-US"/>
        </w:rPr>
        <w:t>inter-cell beam management for mobility based on L1/L2 measurement/reporting</w:t>
      </w:r>
      <w:r w:rsidRPr="00475EA3">
        <w:rPr>
          <w:b w:val="0"/>
          <w:sz w:val="22"/>
          <w:lang w:val="en-US"/>
        </w:rPr>
        <w:t xml:space="preserve">. Based on the discussions above, following proposal </w:t>
      </w:r>
      <w:r w:rsidR="00AE4249">
        <w:rPr>
          <w:b w:val="0"/>
          <w:sz w:val="22"/>
          <w:lang w:val="en-US"/>
        </w:rPr>
        <w:t>is</w:t>
      </w:r>
      <w:r w:rsidRPr="00475EA3">
        <w:rPr>
          <w:b w:val="0"/>
          <w:sz w:val="22"/>
          <w:lang w:val="en-US"/>
        </w:rPr>
        <w:t xml:space="preserve"> given as:</w:t>
      </w:r>
    </w:p>
    <w:p w14:paraId="2D24F5C6" w14:textId="4088D13D" w:rsidR="00AE4249" w:rsidRPr="00C07FC7" w:rsidRDefault="00AE4249" w:rsidP="00AE4249">
      <w:pPr>
        <w:pStyle w:val="LGTdoc1"/>
        <w:snapToGrid/>
        <w:spacing w:line="360" w:lineRule="auto"/>
        <w:contextualSpacing/>
        <w:rPr>
          <w:sz w:val="22"/>
        </w:rPr>
      </w:pPr>
      <w:r>
        <w:rPr>
          <w:sz w:val="22"/>
        </w:rPr>
        <w:t>Proposal</w:t>
      </w:r>
      <w:r w:rsidR="00B85BD5">
        <w:rPr>
          <w:sz w:val="22"/>
        </w:rPr>
        <w:t xml:space="preserve"> #1</w:t>
      </w:r>
      <w:r>
        <w:rPr>
          <w:sz w:val="22"/>
        </w:rPr>
        <w:t>: Consider</w:t>
      </w:r>
      <w:r w:rsidRPr="007C1EAE">
        <w:rPr>
          <w:sz w:val="22"/>
        </w:rPr>
        <w:t xml:space="preserve"> </w:t>
      </w:r>
      <w:r>
        <w:rPr>
          <w:sz w:val="22"/>
        </w:rPr>
        <w:t>event-driven L1-based beam reporting for non-serving cells and study how to extend conventional L3 criteria for triggering of an NR measurement reporting event for L1-based beam reporting.</w:t>
      </w:r>
    </w:p>
    <w:p w14:paraId="6C4DB732" w14:textId="77777777" w:rsidR="00B06844" w:rsidRDefault="00B06844" w:rsidP="00B06844">
      <w:pPr>
        <w:pStyle w:val="LGTdoc1"/>
        <w:snapToGrid/>
        <w:spacing w:line="360" w:lineRule="auto"/>
        <w:contextualSpacing/>
        <w:rPr>
          <w:sz w:val="22"/>
        </w:rPr>
      </w:pPr>
      <w:r>
        <w:rPr>
          <w:sz w:val="22"/>
        </w:rPr>
        <w:t>Proposal #2: Consider</w:t>
      </w:r>
      <w:r w:rsidRPr="007C1EAE">
        <w:rPr>
          <w:sz w:val="22"/>
        </w:rPr>
        <w:t xml:space="preserve"> </w:t>
      </w:r>
      <w:r>
        <w:rPr>
          <w:sz w:val="22"/>
        </w:rPr>
        <w:t>filtering L1 measurement results to mitigate ‘ping-pong’ issue by taking into account the followings.</w:t>
      </w:r>
    </w:p>
    <w:p w14:paraId="7C79DD91" w14:textId="77777777" w:rsidR="00B06844" w:rsidRDefault="00B06844" w:rsidP="00B06844">
      <w:pPr>
        <w:pStyle w:val="LGTdoc1"/>
        <w:numPr>
          <w:ilvl w:val="1"/>
          <w:numId w:val="44"/>
        </w:numPr>
        <w:snapToGrid/>
        <w:spacing w:line="360" w:lineRule="auto"/>
        <w:contextualSpacing/>
        <w:rPr>
          <w:sz w:val="22"/>
        </w:rPr>
      </w:pPr>
      <w:r>
        <w:rPr>
          <w:sz w:val="22"/>
        </w:rPr>
        <w:t xml:space="preserve">Add or modify event triggering condition in </w:t>
      </w:r>
      <w:r w:rsidRPr="00B06844">
        <w:rPr>
          <w:i/>
          <w:sz w:val="22"/>
        </w:rPr>
        <w:t>ReportConfigNR</w:t>
      </w:r>
      <w:r>
        <w:rPr>
          <w:sz w:val="22"/>
        </w:rPr>
        <w:t xml:space="preserve"> with L1-based threshold/offset</w:t>
      </w:r>
    </w:p>
    <w:p w14:paraId="31CA4852" w14:textId="220D9BD3" w:rsidR="00B06844" w:rsidRPr="00B06844" w:rsidRDefault="00B06844" w:rsidP="00B06844">
      <w:pPr>
        <w:pStyle w:val="LGTdoc1"/>
        <w:numPr>
          <w:ilvl w:val="1"/>
          <w:numId w:val="44"/>
        </w:numPr>
        <w:snapToGrid/>
        <w:spacing w:line="360" w:lineRule="auto"/>
        <w:contextualSpacing/>
        <w:rPr>
          <w:sz w:val="22"/>
        </w:rPr>
      </w:pPr>
      <w:r>
        <w:rPr>
          <w:sz w:val="22"/>
        </w:rPr>
        <w:t>Check event triggering condition in terms of beam quality based on ‘time to trigger’ operation</w:t>
      </w:r>
    </w:p>
    <w:p w14:paraId="5FE90968" w14:textId="77777777" w:rsidR="00475EA3" w:rsidRPr="00475EA3" w:rsidRDefault="00475EA3" w:rsidP="00F33977">
      <w:pPr>
        <w:keepNext/>
        <w:widowControl w:val="0"/>
        <w:numPr>
          <w:ilvl w:val="0"/>
          <w:numId w:val="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bookmarkStart w:id="0" w:name="_GoBack"/>
      <w:bookmarkEnd w:id="0"/>
      <w:r w:rsidRPr="00475EA3">
        <w:rPr>
          <w:rFonts w:ascii="Times New Roman" w:eastAsia="Times New Roman" w:hAnsi="Times New Roman" w:cstheme="majorBidi"/>
          <w:b/>
          <w:kern w:val="2"/>
          <w:sz w:val="32"/>
          <w:szCs w:val="28"/>
        </w:rPr>
        <w:t>References</w:t>
      </w:r>
    </w:p>
    <w:p w14:paraId="507D3042" w14:textId="188A14FF" w:rsidR="004D2D51" w:rsidRDefault="00475EA3"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 xml:space="preserve">[1] </w:t>
      </w:r>
      <w:r w:rsidRPr="00475EA3">
        <w:rPr>
          <w:rFonts w:ascii="Times New Roman" w:eastAsia="바탕" w:hAnsi="Times New Roman" w:cs="Times New Roman"/>
          <w:snapToGrid w:val="0"/>
          <w:sz w:val="20"/>
          <w:szCs w:val="20"/>
        </w:rPr>
        <w:t>RP-</w:t>
      </w:r>
      <w:r w:rsidR="009D3CFE">
        <w:rPr>
          <w:rFonts w:ascii="Times New Roman" w:eastAsia="바탕" w:hAnsi="Times New Roman" w:cs="Times New Roman"/>
          <w:snapToGrid w:val="0"/>
          <w:sz w:val="20"/>
          <w:szCs w:val="20"/>
        </w:rPr>
        <w:t>213</w:t>
      </w:r>
      <w:r w:rsidR="00265A2E">
        <w:rPr>
          <w:rFonts w:ascii="Times New Roman" w:eastAsia="바탕" w:hAnsi="Times New Roman" w:cs="Times New Roman"/>
          <w:snapToGrid w:val="0"/>
          <w:sz w:val="20"/>
          <w:szCs w:val="20"/>
        </w:rPr>
        <w:t>565</w:t>
      </w:r>
      <w:r w:rsidRPr="00475EA3">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New WID</w:t>
      </w:r>
      <w:r w:rsidR="00265A2E">
        <w:rPr>
          <w:rFonts w:ascii="Times New Roman" w:eastAsia="바탕" w:hAnsi="Times New Roman" w:cs="Times New Roman"/>
          <w:snapToGrid w:val="0"/>
          <w:sz w:val="20"/>
          <w:szCs w:val="20"/>
        </w:rPr>
        <w:t xml:space="preserve"> on Further NR mobility enhancements</w:t>
      </w:r>
      <w:r w:rsidR="00265A2E">
        <w:rPr>
          <w:rFonts w:ascii="Times New Roman" w:eastAsia="바탕" w:hAnsi="Times New Roman" w:cs="Times New Roman"/>
          <w:snapToGrid w:val="0"/>
          <w:sz w:val="20"/>
          <w:szCs w:val="20"/>
        </w:rPr>
        <w:tab/>
      </w:r>
      <w:r w:rsidR="009D3CFE">
        <w:rPr>
          <w:rFonts w:ascii="Times New Roman" w:eastAsia="바탕" w:hAnsi="Times New Roman" w:cs="Times New Roman"/>
          <w:snapToGrid w:val="0"/>
          <w:sz w:val="20"/>
          <w:szCs w:val="20"/>
        </w:rPr>
        <w:tab/>
      </w:r>
      <w:r w:rsidR="00D9422C">
        <w:rPr>
          <w:rFonts w:ascii="Times New Roman" w:eastAsia="바탕" w:hAnsi="Times New Roman" w:cs="Times New Roman"/>
          <w:snapToGrid w:val="0"/>
          <w:sz w:val="20"/>
          <w:szCs w:val="20"/>
        </w:rPr>
        <w:tab/>
      </w:r>
      <w:r w:rsidR="00265A2E">
        <w:rPr>
          <w:rFonts w:ascii="Times New Roman" w:eastAsia="바탕" w:hAnsi="Times New Roman" w:cs="Times New Roman"/>
          <w:snapToGrid w:val="0"/>
          <w:sz w:val="20"/>
          <w:szCs w:val="20"/>
        </w:rPr>
        <w:t>MediaTek</w:t>
      </w:r>
    </w:p>
    <w:p w14:paraId="09247BD3" w14:textId="57E0AA19" w:rsidR="00D9422C" w:rsidRPr="00C5471D" w:rsidRDefault="00D9422C"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p>
    <w:sectPr w:rsidR="00D9422C" w:rsidRPr="00C5471D"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6040A" w14:textId="77777777" w:rsidR="00CA6EFA" w:rsidRDefault="00CA6EFA" w:rsidP="00C01439">
      <w:r>
        <w:separator/>
      </w:r>
    </w:p>
  </w:endnote>
  <w:endnote w:type="continuationSeparator" w:id="0">
    <w:p w14:paraId="7234A8CE" w14:textId="77777777" w:rsidR="00CA6EFA" w:rsidRDefault="00CA6EFA"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1530E9" w:rsidRPr="00473EE7" w:rsidRDefault="001530E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5F6326">
      <w:rPr>
        <w:b/>
        <w:noProof/>
        <w:sz w:val="20"/>
        <w:szCs w:val="20"/>
      </w:rPr>
      <w:t>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5F6326" w:rsidRPr="005F6326">
      <w:rPr>
        <w:b/>
        <w:noProof/>
        <w:color w:val="595959"/>
        <w:sz w:val="20"/>
        <w:szCs w:val="20"/>
      </w:rPr>
      <w:t>4</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1CB69" w14:textId="77777777" w:rsidR="00CA6EFA" w:rsidRDefault="00CA6EFA" w:rsidP="00C01439">
      <w:r>
        <w:separator/>
      </w:r>
    </w:p>
  </w:footnote>
  <w:footnote w:type="continuationSeparator" w:id="0">
    <w:p w14:paraId="7F12D3C9" w14:textId="77777777" w:rsidR="00CA6EFA" w:rsidRDefault="00CA6EFA"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3C7AFE"/>
    <w:multiLevelType w:val="hybridMultilevel"/>
    <w:tmpl w:val="58BCAF96"/>
    <w:lvl w:ilvl="0" w:tplc="04090011">
      <w:start w:val="1"/>
      <w:numFmt w:val="decimalEnclosedCircle"/>
      <w:lvlText w:val="%1"/>
      <w:lvlJc w:val="left"/>
      <w:pPr>
        <w:ind w:left="840" w:hanging="420"/>
      </w:pPr>
      <w:rPr>
        <w:rFonts w:hint="default"/>
      </w:rPr>
    </w:lvl>
    <w:lvl w:ilvl="1" w:tplc="04090009">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nsid w:val="045D0AD8"/>
    <w:multiLevelType w:val="multilevel"/>
    <w:tmpl w:val="8416BC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21711D"/>
    <w:multiLevelType w:val="hybridMultilevel"/>
    <w:tmpl w:val="71B22C48"/>
    <w:lvl w:ilvl="0" w:tplc="574A47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7640231"/>
    <w:multiLevelType w:val="hybridMultilevel"/>
    <w:tmpl w:val="993C2340"/>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D4A52EC"/>
    <w:multiLevelType w:val="hybridMultilevel"/>
    <w:tmpl w:val="80D00B8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4">
    <w:nsid w:val="5E2327DB"/>
    <w:multiLevelType w:val="hybridMultilevel"/>
    <w:tmpl w:val="4FE472E4"/>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648B65DC"/>
    <w:multiLevelType w:val="multilevel"/>
    <w:tmpl w:val="64B6F6B2"/>
    <w:lvl w:ilvl="0">
      <w:numFmt w:val="bullet"/>
      <w:lvlText w:val="-"/>
      <w:lvlJc w:val="left"/>
      <w:pPr>
        <w:ind w:left="360" w:hanging="360"/>
      </w:pPr>
      <w:rPr>
        <w:rFonts w:ascii="Calibri" w:eastAsia="Calibri" w:hAnsi="Calibri" w:cs="Calibri"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825279A"/>
    <w:multiLevelType w:val="hybridMultilevel"/>
    <w:tmpl w:val="FFE0F788"/>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024EC1"/>
    <w:multiLevelType w:val="hybridMultilevel"/>
    <w:tmpl w:val="EA52CF9A"/>
    <w:lvl w:ilvl="0" w:tplc="04090011">
      <w:start w:val="1"/>
      <w:numFmt w:val="decimalEnclosedCircle"/>
      <w:lvlText w:val="%1"/>
      <w:lvlJc w:val="left"/>
      <w:pPr>
        <w:ind w:left="840" w:hanging="420"/>
      </w:pPr>
      <w:rPr>
        <w:rFonts w:hint="default"/>
      </w:rPr>
    </w:lvl>
    <w:lvl w:ilvl="1" w:tplc="04090009">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20"/>
  </w:num>
  <w:num w:numId="3">
    <w:abstractNumId w:val="21"/>
  </w:num>
  <w:num w:numId="4">
    <w:abstractNumId w:val="23"/>
  </w:num>
  <w:num w:numId="5">
    <w:abstractNumId w:val="5"/>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16"/>
  </w:num>
  <w:num w:numId="9">
    <w:abstractNumId w:val="9"/>
  </w:num>
  <w:num w:numId="10">
    <w:abstractNumId w:val="18"/>
  </w:num>
  <w:num w:numId="11">
    <w:abstractNumId w:val="11"/>
  </w:num>
  <w:num w:numId="12">
    <w:abstractNumId w:val="6"/>
  </w:num>
  <w:num w:numId="13">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8"/>
  </w:num>
  <w:num w:numId="16">
    <w:abstractNumId w:val="13"/>
  </w:num>
  <w:num w:numId="17">
    <w:abstractNumId w:val="11"/>
    <w:lvlOverride w:ilvl="0">
      <w:startOverride w:val="1"/>
    </w:lvlOverride>
    <w:lvlOverride w:ilvl="1"/>
    <w:lvlOverride w:ilvl="2"/>
    <w:lvlOverride w:ilvl="3">
      <w:startOverride w:val="1"/>
    </w:lvlOverride>
    <w:lvlOverride w:ilvl="4"/>
    <w:lvlOverride w:ilvl="5"/>
    <w:lvlOverride w:ilvl="6"/>
    <w:lvlOverride w:ilvl="7"/>
    <w:lvlOverride w:ilvl="8"/>
  </w:num>
  <w:num w:numId="18">
    <w:abstractNumId w:val="3"/>
  </w:num>
  <w:num w:numId="19">
    <w:abstractNumId w:val="19"/>
  </w:num>
  <w:num w:numId="20">
    <w:abstractNumId w:val="18"/>
  </w:num>
  <w:num w:numId="21">
    <w:abstractNumId w:val="14"/>
  </w:num>
  <w:num w:numId="22">
    <w:abstractNumId w:val="10"/>
  </w:num>
  <w:num w:numId="23">
    <w:abstractNumId w:val="1"/>
  </w:num>
  <w:num w:numId="24">
    <w:abstractNumId w:val="24"/>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lvlOverride w:ilvl="2"/>
    <w:lvlOverride w:ilvl="3">
      <w:startOverride w:val="1"/>
    </w:lvlOverride>
    <w:lvlOverride w:ilvl="4"/>
    <w:lvlOverride w:ilvl="5"/>
    <w:lvlOverride w:ilvl="6"/>
    <w:lvlOverride w:ilvl="7"/>
    <w:lvlOverride w:ilvl="8"/>
  </w:num>
  <w:num w:numId="42">
    <w:abstractNumId w:val="12"/>
  </w:num>
  <w:num w:numId="43">
    <w:abstractNumId w:val="7"/>
  </w:num>
  <w:num w:numId="4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trackRevisions/>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210"/>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142"/>
    <w:rsid w:val="0002245A"/>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27E69"/>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B2B"/>
    <w:rsid w:val="0003751B"/>
    <w:rsid w:val="000401A6"/>
    <w:rsid w:val="000403FC"/>
    <w:rsid w:val="00041768"/>
    <w:rsid w:val="00042B67"/>
    <w:rsid w:val="00042F21"/>
    <w:rsid w:val="00043370"/>
    <w:rsid w:val="000439E9"/>
    <w:rsid w:val="00043CB8"/>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C4"/>
    <w:rsid w:val="00056001"/>
    <w:rsid w:val="00056057"/>
    <w:rsid w:val="00056171"/>
    <w:rsid w:val="00056913"/>
    <w:rsid w:val="00056D9D"/>
    <w:rsid w:val="00056E72"/>
    <w:rsid w:val="00057A4F"/>
    <w:rsid w:val="00057E5A"/>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424"/>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3BAD"/>
    <w:rsid w:val="00083F4B"/>
    <w:rsid w:val="0008416B"/>
    <w:rsid w:val="000846BE"/>
    <w:rsid w:val="00084BC0"/>
    <w:rsid w:val="00085408"/>
    <w:rsid w:val="000866D4"/>
    <w:rsid w:val="00086D9D"/>
    <w:rsid w:val="000871C5"/>
    <w:rsid w:val="00087992"/>
    <w:rsid w:val="00087D82"/>
    <w:rsid w:val="00087ECE"/>
    <w:rsid w:val="00090513"/>
    <w:rsid w:val="00090E71"/>
    <w:rsid w:val="000917D1"/>
    <w:rsid w:val="00091E4A"/>
    <w:rsid w:val="00092023"/>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99C"/>
    <w:rsid w:val="000A7226"/>
    <w:rsid w:val="000A7F41"/>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0C12"/>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3875"/>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6A2"/>
    <w:rsid w:val="00124C29"/>
    <w:rsid w:val="00124E15"/>
    <w:rsid w:val="00125815"/>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0E9"/>
    <w:rsid w:val="0015326B"/>
    <w:rsid w:val="00153F49"/>
    <w:rsid w:val="00153F5F"/>
    <w:rsid w:val="0015415A"/>
    <w:rsid w:val="0015429F"/>
    <w:rsid w:val="00154836"/>
    <w:rsid w:val="00154CCC"/>
    <w:rsid w:val="00154F78"/>
    <w:rsid w:val="001553A8"/>
    <w:rsid w:val="0015568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9D7"/>
    <w:rsid w:val="00163C91"/>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3F2B"/>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784"/>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67E9"/>
    <w:rsid w:val="001A71A2"/>
    <w:rsid w:val="001A794B"/>
    <w:rsid w:val="001A79ED"/>
    <w:rsid w:val="001B00AD"/>
    <w:rsid w:val="001B15E3"/>
    <w:rsid w:val="001B185A"/>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29F3"/>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2B62"/>
    <w:rsid w:val="001F3455"/>
    <w:rsid w:val="001F3C88"/>
    <w:rsid w:val="001F3D05"/>
    <w:rsid w:val="001F3DD3"/>
    <w:rsid w:val="001F46FB"/>
    <w:rsid w:val="001F495C"/>
    <w:rsid w:val="001F49CC"/>
    <w:rsid w:val="001F4A71"/>
    <w:rsid w:val="001F4EEF"/>
    <w:rsid w:val="001F5486"/>
    <w:rsid w:val="001F5FE3"/>
    <w:rsid w:val="001F66FE"/>
    <w:rsid w:val="001F6855"/>
    <w:rsid w:val="001F6A76"/>
    <w:rsid w:val="001F7BAA"/>
    <w:rsid w:val="00200284"/>
    <w:rsid w:val="002014BE"/>
    <w:rsid w:val="002015AA"/>
    <w:rsid w:val="00201EC7"/>
    <w:rsid w:val="0020275F"/>
    <w:rsid w:val="00202A7A"/>
    <w:rsid w:val="00202B6E"/>
    <w:rsid w:val="00202BA0"/>
    <w:rsid w:val="00202F7B"/>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CE1"/>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40A"/>
    <w:rsid w:val="002401C1"/>
    <w:rsid w:val="00240D13"/>
    <w:rsid w:val="00240FE1"/>
    <w:rsid w:val="00241174"/>
    <w:rsid w:val="002417EC"/>
    <w:rsid w:val="00241CFA"/>
    <w:rsid w:val="002422C4"/>
    <w:rsid w:val="0024256E"/>
    <w:rsid w:val="002428C6"/>
    <w:rsid w:val="00242EB2"/>
    <w:rsid w:val="00243853"/>
    <w:rsid w:val="002438B3"/>
    <w:rsid w:val="00243ECC"/>
    <w:rsid w:val="002441BB"/>
    <w:rsid w:val="002445AE"/>
    <w:rsid w:val="00244B0E"/>
    <w:rsid w:val="00244D99"/>
    <w:rsid w:val="00245978"/>
    <w:rsid w:val="002473CA"/>
    <w:rsid w:val="002474E1"/>
    <w:rsid w:val="0024784F"/>
    <w:rsid w:val="00247CB3"/>
    <w:rsid w:val="00250670"/>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2E"/>
    <w:rsid w:val="00265AB7"/>
    <w:rsid w:val="002665FE"/>
    <w:rsid w:val="00266810"/>
    <w:rsid w:val="00267EDC"/>
    <w:rsid w:val="002707DA"/>
    <w:rsid w:val="002708F7"/>
    <w:rsid w:val="00270F03"/>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2267"/>
    <w:rsid w:val="0028268D"/>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248"/>
    <w:rsid w:val="00295EC8"/>
    <w:rsid w:val="0029622C"/>
    <w:rsid w:val="002962B9"/>
    <w:rsid w:val="00296AC7"/>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000"/>
    <w:rsid w:val="002B21DD"/>
    <w:rsid w:val="002B2548"/>
    <w:rsid w:val="002B2601"/>
    <w:rsid w:val="002B261B"/>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1626"/>
    <w:rsid w:val="002C207D"/>
    <w:rsid w:val="002C28EE"/>
    <w:rsid w:val="002C2BB2"/>
    <w:rsid w:val="002C3BE0"/>
    <w:rsid w:val="002C4064"/>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6E78"/>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408F"/>
    <w:rsid w:val="002E4810"/>
    <w:rsid w:val="002E4C2A"/>
    <w:rsid w:val="002E5234"/>
    <w:rsid w:val="002E598C"/>
    <w:rsid w:val="002E5DC3"/>
    <w:rsid w:val="002E63A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7D1"/>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5F6"/>
    <w:rsid w:val="003266C9"/>
    <w:rsid w:val="00326B22"/>
    <w:rsid w:val="0032712E"/>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5034B"/>
    <w:rsid w:val="003505A0"/>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C"/>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29F6"/>
    <w:rsid w:val="0039447B"/>
    <w:rsid w:val="0039480A"/>
    <w:rsid w:val="0039498F"/>
    <w:rsid w:val="00394B60"/>
    <w:rsid w:val="00394BFE"/>
    <w:rsid w:val="00394F12"/>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402"/>
    <w:rsid w:val="003B157F"/>
    <w:rsid w:val="003B170C"/>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2CBE"/>
    <w:rsid w:val="003C2E39"/>
    <w:rsid w:val="003C2EA5"/>
    <w:rsid w:val="003C35B7"/>
    <w:rsid w:val="003C3A6C"/>
    <w:rsid w:val="003C3A8D"/>
    <w:rsid w:val="003C3B1D"/>
    <w:rsid w:val="003C4215"/>
    <w:rsid w:val="003C4288"/>
    <w:rsid w:val="003C4445"/>
    <w:rsid w:val="003C4748"/>
    <w:rsid w:val="003C6224"/>
    <w:rsid w:val="003C64DB"/>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277"/>
    <w:rsid w:val="003D638D"/>
    <w:rsid w:val="003D6A5D"/>
    <w:rsid w:val="003D6DBC"/>
    <w:rsid w:val="003D7D1C"/>
    <w:rsid w:val="003E1431"/>
    <w:rsid w:val="003E1832"/>
    <w:rsid w:val="003E2043"/>
    <w:rsid w:val="003E214E"/>
    <w:rsid w:val="003E27B5"/>
    <w:rsid w:val="003E2BC3"/>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0D48"/>
    <w:rsid w:val="004113EA"/>
    <w:rsid w:val="00411BF8"/>
    <w:rsid w:val="00411D33"/>
    <w:rsid w:val="0041218A"/>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6C0C"/>
    <w:rsid w:val="00417252"/>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B44"/>
    <w:rsid w:val="00427E5C"/>
    <w:rsid w:val="00427FA2"/>
    <w:rsid w:val="004300B2"/>
    <w:rsid w:val="0043017B"/>
    <w:rsid w:val="00430811"/>
    <w:rsid w:val="0043099C"/>
    <w:rsid w:val="00430CFA"/>
    <w:rsid w:val="0043185E"/>
    <w:rsid w:val="00432563"/>
    <w:rsid w:val="0043339B"/>
    <w:rsid w:val="0043364F"/>
    <w:rsid w:val="004340CE"/>
    <w:rsid w:val="004350D8"/>
    <w:rsid w:val="00435780"/>
    <w:rsid w:val="00435A1D"/>
    <w:rsid w:val="00436110"/>
    <w:rsid w:val="004369B9"/>
    <w:rsid w:val="004373AE"/>
    <w:rsid w:val="004373CE"/>
    <w:rsid w:val="004376AC"/>
    <w:rsid w:val="00437A6A"/>
    <w:rsid w:val="00437C43"/>
    <w:rsid w:val="00440522"/>
    <w:rsid w:val="004405FE"/>
    <w:rsid w:val="00441A13"/>
    <w:rsid w:val="00441D90"/>
    <w:rsid w:val="00441F41"/>
    <w:rsid w:val="004425E1"/>
    <w:rsid w:val="00442865"/>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BE7"/>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820"/>
    <w:rsid w:val="00465AAA"/>
    <w:rsid w:val="00465ACE"/>
    <w:rsid w:val="00465BDB"/>
    <w:rsid w:val="00465CB2"/>
    <w:rsid w:val="00465E8C"/>
    <w:rsid w:val="00466434"/>
    <w:rsid w:val="0046649C"/>
    <w:rsid w:val="004668AE"/>
    <w:rsid w:val="00466D36"/>
    <w:rsid w:val="00467197"/>
    <w:rsid w:val="0046722D"/>
    <w:rsid w:val="004673D0"/>
    <w:rsid w:val="004677BB"/>
    <w:rsid w:val="004677D4"/>
    <w:rsid w:val="0047023B"/>
    <w:rsid w:val="00470787"/>
    <w:rsid w:val="00470CDA"/>
    <w:rsid w:val="00471C16"/>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DEB"/>
    <w:rsid w:val="004A105B"/>
    <w:rsid w:val="004A106E"/>
    <w:rsid w:val="004A16B7"/>
    <w:rsid w:val="004A19DC"/>
    <w:rsid w:val="004A1AF9"/>
    <w:rsid w:val="004A1B74"/>
    <w:rsid w:val="004A230E"/>
    <w:rsid w:val="004A2ED6"/>
    <w:rsid w:val="004A2F87"/>
    <w:rsid w:val="004A2F9A"/>
    <w:rsid w:val="004A3858"/>
    <w:rsid w:val="004A3CB3"/>
    <w:rsid w:val="004A5325"/>
    <w:rsid w:val="004A54BA"/>
    <w:rsid w:val="004A59F2"/>
    <w:rsid w:val="004A6993"/>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0F98"/>
    <w:rsid w:val="004C1246"/>
    <w:rsid w:val="004C1724"/>
    <w:rsid w:val="004C17E3"/>
    <w:rsid w:val="004C192A"/>
    <w:rsid w:val="004C463A"/>
    <w:rsid w:val="004C4AC0"/>
    <w:rsid w:val="004C4CBF"/>
    <w:rsid w:val="004C4D2C"/>
    <w:rsid w:val="004C5012"/>
    <w:rsid w:val="004C5127"/>
    <w:rsid w:val="004C5256"/>
    <w:rsid w:val="004C527E"/>
    <w:rsid w:val="004C5383"/>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46E"/>
    <w:rsid w:val="004D7C2E"/>
    <w:rsid w:val="004E0A87"/>
    <w:rsid w:val="004E10BC"/>
    <w:rsid w:val="004E165F"/>
    <w:rsid w:val="004E182D"/>
    <w:rsid w:val="004E23C5"/>
    <w:rsid w:val="004E241D"/>
    <w:rsid w:val="004E317E"/>
    <w:rsid w:val="004E339A"/>
    <w:rsid w:val="004E37D2"/>
    <w:rsid w:val="004E3C0E"/>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1951"/>
    <w:rsid w:val="004F22BD"/>
    <w:rsid w:val="004F2699"/>
    <w:rsid w:val="004F2AA4"/>
    <w:rsid w:val="004F2EAC"/>
    <w:rsid w:val="004F342C"/>
    <w:rsid w:val="004F38C5"/>
    <w:rsid w:val="004F3F9A"/>
    <w:rsid w:val="004F450D"/>
    <w:rsid w:val="004F4971"/>
    <w:rsid w:val="004F4B68"/>
    <w:rsid w:val="004F4C11"/>
    <w:rsid w:val="004F5221"/>
    <w:rsid w:val="004F658D"/>
    <w:rsid w:val="004F6820"/>
    <w:rsid w:val="004F6877"/>
    <w:rsid w:val="004F6A3A"/>
    <w:rsid w:val="004F6A87"/>
    <w:rsid w:val="004F7395"/>
    <w:rsid w:val="004F7986"/>
    <w:rsid w:val="004F7E71"/>
    <w:rsid w:val="005005B8"/>
    <w:rsid w:val="00501490"/>
    <w:rsid w:val="00501624"/>
    <w:rsid w:val="00501B55"/>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8E"/>
    <w:rsid w:val="005235A5"/>
    <w:rsid w:val="00523BC6"/>
    <w:rsid w:val="00523F3A"/>
    <w:rsid w:val="005242AB"/>
    <w:rsid w:val="00524472"/>
    <w:rsid w:val="0052465C"/>
    <w:rsid w:val="00524D3B"/>
    <w:rsid w:val="0052516E"/>
    <w:rsid w:val="0052539C"/>
    <w:rsid w:val="00525452"/>
    <w:rsid w:val="0052574C"/>
    <w:rsid w:val="00527143"/>
    <w:rsid w:val="005272A8"/>
    <w:rsid w:val="0052730B"/>
    <w:rsid w:val="00527382"/>
    <w:rsid w:val="0053068C"/>
    <w:rsid w:val="00530827"/>
    <w:rsid w:val="00530D7F"/>
    <w:rsid w:val="00531078"/>
    <w:rsid w:val="00531145"/>
    <w:rsid w:val="00531E00"/>
    <w:rsid w:val="005322A6"/>
    <w:rsid w:val="0053291B"/>
    <w:rsid w:val="00532FFF"/>
    <w:rsid w:val="00533615"/>
    <w:rsid w:val="00533A20"/>
    <w:rsid w:val="00533B48"/>
    <w:rsid w:val="005341B6"/>
    <w:rsid w:val="005342F6"/>
    <w:rsid w:val="00534481"/>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929"/>
    <w:rsid w:val="00551183"/>
    <w:rsid w:val="005511AD"/>
    <w:rsid w:val="005516D1"/>
    <w:rsid w:val="005518AC"/>
    <w:rsid w:val="00551B5D"/>
    <w:rsid w:val="005525BC"/>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6E8C"/>
    <w:rsid w:val="00567054"/>
    <w:rsid w:val="00567CB7"/>
    <w:rsid w:val="00567ED4"/>
    <w:rsid w:val="0057007D"/>
    <w:rsid w:val="00570100"/>
    <w:rsid w:val="005703F1"/>
    <w:rsid w:val="005706CC"/>
    <w:rsid w:val="0057186A"/>
    <w:rsid w:val="00571D78"/>
    <w:rsid w:val="005720E7"/>
    <w:rsid w:val="005727EB"/>
    <w:rsid w:val="005728F9"/>
    <w:rsid w:val="00572C72"/>
    <w:rsid w:val="00573419"/>
    <w:rsid w:val="00573507"/>
    <w:rsid w:val="005736A1"/>
    <w:rsid w:val="00574756"/>
    <w:rsid w:val="00574F10"/>
    <w:rsid w:val="0057539E"/>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93F"/>
    <w:rsid w:val="00583B15"/>
    <w:rsid w:val="00583FB0"/>
    <w:rsid w:val="00585182"/>
    <w:rsid w:val="00585200"/>
    <w:rsid w:val="00585A14"/>
    <w:rsid w:val="00585A18"/>
    <w:rsid w:val="0058659D"/>
    <w:rsid w:val="00586DAA"/>
    <w:rsid w:val="00587D80"/>
    <w:rsid w:val="00590141"/>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2DF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20CC"/>
    <w:rsid w:val="005C348D"/>
    <w:rsid w:val="005C3AAA"/>
    <w:rsid w:val="005C464B"/>
    <w:rsid w:val="005C4793"/>
    <w:rsid w:val="005C4FE5"/>
    <w:rsid w:val="005C55AC"/>
    <w:rsid w:val="005C5BA4"/>
    <w:rsid w:val="005C5D45"/>
    <w:rsid w:val="005C5DAD"/>
    <w:rsid w:val="005C5EFC"/>
    <w:rsid w:val="005C6047"/>
    <w:rsid w:val="005C6442"/>
    <w:rsid w:val="005C66D6"/>
    <w:rsid w:val="005C694A"/>
    <w:rsid w:val="005C6C17"/>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CB5"/>
    <w:rsid w:val="005D5E1A"/>
    <w:rsid w:val="005D61DD"/>
    <w:rsid w:val="005D6400"/>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545"/>
    <w:rsid w:val="005E58EB"/>
    <w:rsid w:val="005E5D64"/>
    <w:rsid w:val="005E64DB"/>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4A91"/>
    <w:rsid w:val="005F50C8"/>
    <w:rsid w:val="005F6326"/>
    <w:rsid w:val="005F6E92"/>
    <w:rsid w:val="005F74C1"/>
    <w:rsid w:val="005F7A20"/>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5F04"/>
    <w:rsid w:val="00605FBA"/>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63EE"/>
    <w:rsid w:val="00626C28"/>
    <w:rsid w:val="00626DAB"/>
    <w:rsid w:val="00626F5E"/>
    <w:rsid w:val="006274D6"/>
    <w:rsid w:val="00627586"/>
    <w:rsid w:val="0062780A"/>
    <w:rsid w:val="006303A4"/>
    <w:rsid w:val="006306D3"/>
    <w:rsid w:val="00631832"/>
    <w:rsid w:val="0063194E"/>
    <w:rsid w:val="00631FC4"/>
    <w:rsid w:val="00632691"/>
    <w:rsid w:val="00632768"/>
    <w:rsid w:val="006327E9"/>
    <w:rsid w:val="0063280D"/>
    <w:rsid w:val="00632835"/>
    <w:rsid w:val="00633390"/>
    <w:rsid w:val="00633FBD"/>
    <w:rsid w:val="00634493"/>
    <w:rsid w:val="00634CAD"/>
    <w:rsid w:val="00635A8E"/>
    <w:rsid w:val="00636245"/>
    <w:rsid w:val="00636ADE"/>
    <w:rsid w:val="00636C79"/>
    <w:rsid w:val="00637E2D"/>
    <w:rsid w:val="00640195"/>
    <w:rsid w:val="006414BA"/>
    <w:rsid w:val="0064157A"/>
    <w:rsid w:val="00641A21"/>
    <w:rsid w:val="00641BFB"/>
    <w:rsid w:val="006423FB"/>
    <w:rsid w:val="0064281D"/>
    <w:rsid w:val="00642F66"/>
    <w:rsid w:val="00643159"/>
    <w:rsid w:val="00643243"/>
    <w:rsid w:val="0064456A"/>
    <w:rsid w:val="00644601"/>
    <w:rsid w:val="006446AD"/>
    <w:rsid w:val="00644AA8"/>
    <w:rsid w:val="006451D6"/>
    <w:rsid w:val="00645652"/>
    <w:rsid w:val="00645DCD"/>
    <w:rsid w:val="00645F82"/>
    <w:rsid w:val="006464A5"/>
    <w:rsid w:val="006469AC"/>
    <w:rsid w:val="006469EA"/>
    <w:rsid w:val="0064770F"/>
    <w:rsid w:val="00647B4D"/>
    <w:rsid w:val="00647D17"/>
    <w:rsid w:val="0065013F"/>
    <w:rsid w:val="006502ED"/>
    <w:rsid w:val="006504D0"/>
    <w:rsid w:val="00650FF4"/>
    <w:rsid w:val="006513BB"/>
    <w:rsid w:val="0065309F"/>
    <w:rsid w:val="0065315B"/>
    <w:rsid w:val="00653391"/>
    <w:rsid w:val="006544C8"/>
    <w:rsid w:val="00654B9F"/>
    <w:rsid w:val="00654CCB"/>
    <w:rsid w:val="0065588A"/>
    <w:rsid w:val="00656D36"/>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77FE5"/>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877E5"/>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16C"/>
    <w:rsid w:val="006A42B5"/>
    <w:rsid w:val="006A440C"/>
    <w:rsid w:val="006A49F9"/>
    <w:rsid w:val="006A4CFA"/>
    <w:rsid w:val="006A5275"/>
    <w:rsid w:val="006A539E"/>
    <w:rsid w:val="006A5582"/>
    <w:rsid w:val="006A5E15"/>
    <w:rsid w:val="006A6BD0"/>
    <w:rsid w:val="006A7A8A"/>
    <w:rsid w:val="006A7D7F"/>
    <w:rsid w:val="006B074A"/>
    <w:rsid w:val="006B087B"/>
    <w:rsid w:val="006B0BB0"/>
    <w:rsid w:val="006B0C65"/>
    <w:rsid w:val="006B0C85"/>
    <w:rsid w:val="006B0CF9"/>
    <w:rsid w:val="006B10A4"/>
    <w:rsid w:val="006B1D01"/>
    <w:rsid w:val="006B2D98"/>
    <w:rsid w:val="006B3498"/>
    <w:rsid w:val="006B3748"/>
    <w:rsid w:val="006B377A"/>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092"/>
    <w:rsid w:val="006C3905"/>
    <w:rsid w:val="006C4154"/>
    <w:rsid w:val="006C41B3"/>
    <w:rsid w:val="006C4418"/>
    <w:rsid w:val="006C4ED9"/>
    <w:rsid w:val="006C5733"/>
    <w:rsid w:val="006C5914"/>
    <w:rsid w:val="006C5DC5"/>
    <w:rsid w:val="006C71E3"/>
    <w:rsid w:val="006C754A"/>
    <w:rsid w:val="006D01F8"/>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0E79"/>
    <w:rsid w:val="006E117B"/>
    <w:rsid w:val="006E1952"/>
    <w:rsid w:val="006E19BC"/>
    <w:rsid w:val="006E22E3"/>
    <w:rsid w:val="006E25A4"/>
    <w:rsid w:val="006E2D73"/>
    <w:rsid w:val="006E5C41"/>
    <w:rsid w:val="006E68DA"/>
    <w:rsid w:val="006E7B0B"/>
    <w:rsid w:val="006E7CA8"/>
    <w:rsid w:val="006F039F"/>
    <w:rsid w:val="006F05E3"/>
    <w:rsid w:val="006F1153"/>
    <w:rsid w:val="006F2B57"/>
    <w:rsid w:val="006F3B0D"/>
    <w:rsid w:val="006F4316"/>
    <w:rsid w:val="006F4A76"/>
    <w:rsid w:val="006F5418"/>
    <w:rsid w:val="006F5B02"/>
    <w:rsid w:val="006F5B5A"/>
    <w:rsid w:val="006F5B79"/>
    <w:rsid w:val="006F6786"/>
    <w:rsid w:val="006F6E92"/>
    <w:rsid w:val="006F75A6"/>
    <w:rsid w:val="007008DE"/>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623B"/>
    <w:rsid w:val="00706ACD"/>
    <w:rsid w:val="00706BE0"/>
    <w:rsid w:val="00707164"/>
    <w:rsid w:val="00707A5D"/>
    <w:rsid w:val="00707C17"/>
    <w:rsid w:val="00707E44"/>
    <w:rsid w:val="00707F1C"/>
    <w:rsid w:val="0071041A"/>
    <w:rsid w:val="0071048A"/>
    <w:rsid w:val="007105E0"/>
    <w:rsid w:val="00710CA0"/>
    <w:rsid w:val="00710D56"/>
    <w:rsid w:val="00710F25"/>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7402"/>
    <w:rsid w:val="007176C6"/>
    <w:rsid w:val="00717A0A"/>
    <w:rsid w:val="00720B19"/>
    <w:rsid w:val="00720CF7"/>
    <w:rsid w:val="00721C9F"/>
    <w:rsid w:val="00721E5D"/>
    <w:rsid w:val="007220D3"/>
    <w:rsid w:val="007229E5"/>
    <w:rsid w:val="00722A38"/>
    <w:rsid w:val="00722CE7"/>
    <w:rsid w:val="00722D1D"/>
    <w:rsid w:val="00723988"/>
    <w:rsid w:val="00723BC7"/>
    <w:rsid w:val="00723CF8"/>
    <w:rsid w:val="00723E2B"/>
    <w:rsid w:val="0072405E"/>
    <w:rsid w:val="00724356"/>
    <w:rsid w:val="007253EA"/>
    <w:rsid w:val="00725B5E"/>
    <w:rsid w:val="00725CA0"/>
    <w:rsid w:val="00726086"/>
    <w:rsid w:val="007261C1"/>
    <w:rsid w:val="0072647E"/>
    <w:rsid w:val="007265D4"/>
    <w:rsid w:val="00726753"/>
    <w:rsid w:val="007267BB"/>
    <w:rsid w:val="007279FE"/>
    <w:rsid w:val="00727B13"/>
    <w:rsid w:val="0073017D"/>
    <w:rsid w:val="007305E2"/>
    <w:rsid w:val="00730D7D"/>
    <w:rsid w:val="00730EB1"/>
    <w:rsid w:val="007311E3"/>
    <w:rsid w:val="00731343"/>
    <w:rsid w:val="00731895"/>
    <w:rsid w:val="007319DB"/>
    <w:rsid w:val="00731E5E"/>
    <w:rsid w:val="00732091"/>
    <w:rsid w:val="0073317A"/>
    <w:rsid w:val="0073460F"/>
    <w:rsid w:val="007354B8"/>
    <w:rsid w:val="00735A5A"/>
    <w:rsid w:val="007362E7"/>
    <w:rsid w:val="00736563"/>
    <w:rsid w:val="007369CD"/>
    <w:rsid w:val="00736D35"/>
    <w:rsid w:val="00737333"/>
    <w:rsid w:val="00737384"/>
    <w:rsid w:val="007406DD"/>
    <w:rsid w:val="007415B0"/>
    <w:rsid w:val="00741FED"/>
    <w:rsid w:val="00742451"/>
    <w:rsid w:val="0074275B"/>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6F42"/>
    <w:rsid w:val="007476F1"/>
    <w:rsid w:val="00747753"/>
    <w:rsid w:val="00747FA7"/>
    <w:rsid w:val="007509D5"/>
    <w:rsid w:val="00750D5C"/>
    <w:rsid w:val="00751664"/>
    <w:rsid w:val="00751702"/>
    <w:rsid w:val="00751A05"/>
    <w:rsid w:val="0075222E"/>
    <w:rsid w:val="007525E1"/>
    <w:rsid w:val="00752631"/>
    <w:rsid w:val="00752A2D"/>
    <w:rsid w:val="00752FC3"/>
    <w:rsid w:val="007536C4"/>
    <w:rsid w:val="0075398E"/>
    <w:rsid w:val="00753A64"/>
    <w:rsid w:val="00754526"/>
    <w:rsid w:val="007545D3"/>
    <w:rsid w:val="007546AA"/>
    <w:rsid w:val="0075544F"/>
    <w:rsid w:val="00755806"/>
    <w:rsid w:val="00755F96"/>
    <w:rsid w:val="0075635C"/>
    <w:rsid w:val="00756A4C"/>
    <w:rsid w:val="00756FF1"/>
    <w:rsid w:val="00757484"/>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38E"/>
    <w:rsid w:val="007640D6"/>
    <w:rsid w:val="0076492F"/>
    <w:rsid w:val="007658A2"/>
    <w:rsid w:val="007658D7"/>
    <w:rsid w:val="00765BC2"/>
    <w:rsid w:val="00765F48"/>
    <w:rsid w:val="007660E5"/>
    <w:rsid w:val="00767924"/>
    <w:rsid w:val="00767B2F"/>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088C"/>
    <w:rsid w:val="00781590"/>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4A4"/>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48B6"/>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AE"/>
    <w:rsid w:val="007C1EEC"/>
    <w:rsid w:val="007C2175"/>
    <w:rsid w:val="007C273C"/>
    <w:rsid w:val="007C27C5"/>
    <w:rsid w:val="007C2899"/>
    <w:rsid w:val="007C2BDD"/>
    <w:rsid w:val="007C3530"/>
    <w:rsid w:val="007C3648"/>
    <w:rsid w:val="007C4821"/>
    <w:rsid w:val="007C4AA1"/>
    <w:rsid w:val="007C4EDB"/>
    <w:rsid w:val="007C56E5"/>
    <w:rsid w:val="007C5A95"/>
    <w:rsid w:val="007C5DF5"/>
    <w:rsid w:val="007C6678"/>
    <w:rsid w:val="007C6AA6"/>
    <w:rsid w:val="007C7411"/>
    <w:rsid w:val="007C742A"/>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3393"/>
    <w:rsid w:val="007F3DFD"/>
    <w:rsid w:val="007F41A5"/>
    <w:rsid w:val="007F4378"/>
    <w:rsid w:val="007F4BE6"/>
    <w:rsid w:val="007F4CAD"/>
    <w:rsid w:val="007F5096"/>
    <w:rsid w:val="007F511D"/>
    <w:rsid w:val="007F5573"/>
    <w:rsid w:val="007F6640"/>
    <w:rsid w:val="007F6834"/>
    <w:rsid w:val="007F6AED"/>
    <w:rsid w:val="007F6D9D"/>
    <w:rsid w:val="007F70A2"/>
    <w:rsid w:val="007F7119"/>
    <w:rsid w:val="008001CB"/>
    <w:rsid w:val="008007E9"/>
    <w:rsid w:val="00800A28"/>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0A8"/>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3EC9"/>
    <w:rsid w:val="00854285"/>
    <w:rsid w:val="00854FD5"/>
    <w:rsid w:val="00855702"/>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6F9A"/>
    <w:rsid w:val="00867361"/>
    <w:rsid w:val="00867594"/>
    <w:rsid w:val="00867732"/>
    <w:rsid w:val="0086790C"/>
    <w:rsid w:val="00867E16"/>
    <w:rsid w:val="008702BF"/>
    <w:rsid w:val="008704E8"/>
    <w:rsid w:val="00870515"/>
    <w:rsid w:val="00870F28"/>
    <w:rsid w:val="00871380"/>
    <w:rsid w:val="00871C67"/>
    <w:rsid w:val="00872062"/>
    <w:rsid w:val="0087253A"/>
    <w:rsid w:val="0087258D"/>
    <w:rsid w:val="00872692"/>
    <w:rsid w:val="008728CE"/>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6CB"/>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60CE"/>
    <w:rsid w:val="008B6260"/>
    <w:rsid w:val="008B64F9"/>
    <w:rsid w:val="008B6542"/>
    <w:rsid w:val="008B6586"/>
    <w:rsid w:val="008B7AD7"/>
    <w:rsid w:val="008C043A"/>
    <w:rsid w:val="008C0A89"/>
    <w:rsid w:val="008C1509"/>
    <w:rsid w:val="008C264D"/>
    <w:rsid w:val="008C268C"/>
    <w:rsid w:val="008C26B0"/>
    <w:rsid w:val="008C34B4"/>
    <w:rsid w:val="008C3DCC"/>
    <w:rsid w:val="008C405E"/>
    <w:rsid w:val="008C419B"/>
    <w:rsid w:val="008C4554"/>
    <w:rsid w:val="008C4668"/>
    <w:rsid w:val="008C4E7E"/>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1F95"/>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43E9"/>
    <w:rsid w:val="008F4D90"/>
    <w:rsid w:val="008F5B55"/>
    <w:rsid w:val="008F5FA9"/>
    <w:rsid w:val="008F632B"/>
    <w:rsid w:val="008F6948"/>
    <w:rsid w:val="008F73FA"/>
    <w:rsid w:val="008F7626"/>
    <w:rsid w:val="008F76EC"/>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AC3"/>
    <w:rsid w:val="00946E3C"/>
    <w:rsid w:val="00946ED2"/>
    <w:rsid w:val="009471BB"/>
    <w:rsid w:val="0094737B"/>
    <w:rsid w:val="0095054B"/>
    <w:rsid w:val="00950B83"/>
    <w:rsid w:val="00951E4E"/>
    <w:rsid w:val="009525F7"/>
    <w:rsid w:val="009536E1"/>
    <w:rsid w:val="0095394E"/>
    <w:rsid w:val="00953D66"/>
    <w:rsid w:val="00953D7B"/>
    <w:rsid w:val="009543E8"/>
    <w:rsid w:val="00954797"/>
    <w:rsid w:val="00954A2C"/>
    <w:rsid w:val="00956569"/>
    <w:rsid w:val="00956C7E"/>
    <w:rsid w:val="00956DEC"/>
    <w:rsid w:val="00957A5E"/>
    <w:rsid w:val="00957B21"/>
    <w:rsid w:val="0096027B"/>
    <w:rsid w:val="00960881"/>
    <w:rsid w:val="00962566"/>
    <w:rsid w:val="009625A8"/>
    <w:rsid w:val="00962739"/>
    <w:rsid w:val="009635EC"/>
    <w:rsid w:val="009635FE"/>
    <w:rsid w:val="00963AE9"/>
    <w:rsid w:val="00963FC8"/>
    <w:rsid w:val="00964443"/>
    <w:rsid w:val="00964760"/>
    <w:rsid w:val="00965864"/>
    <w:rsid w:val="009668E0"/>
    <w:rsid w:val="00966C7B"/>
    <w:rsid w:val="00967A4E"/>
    <w:rsid w:val="0097144B"/>
    <w:rsid w:val="009719AE"/>
    <w:rsid w:val="00971DC4"/>
    <w:rsid w:val="009720E4"/>
    <w:rsid w:val="009722C3"/>
    <w:rsid w:val="009724A6"/>
    <w:rsid w:val="00972A0B"/>
    <w:rsid w:val="00973102"/>
    <w:rsid w:val="0097310C"/>
    <w:rsid w:val="00973418"/>
    <w:rsid w:val="009742EA"/>
    <w:rsid w:val="009746FD"/>
    <w:rsid w:val="00974A89"/>
    <w:rsid w:val="00974FCC"/>
    <w:rsid w:val="0097508E"/>
    <w:rsid w:val="00975574"/>
    <w:rsid w:val="009756D9"/>
    <w:rsid w:val="009758A1"/>
    <w:rsid w:val="00976026"/>
    <w:rsid w:val="009766CF"/>
    <w:rsid w:val="00976967"/>
    <w:rsid w:val="0097774F"/>
    <w:rsid w:val="00977770"/>
    <w:rsid w:val="00977DA2"/>
    <w:rsid w:val="00980519"/>
    <w:rsid w:val="00980642"/>
    <w:rsid w:val="00981550"/>
    <w:rsid w:val="009821D8"/>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59"/>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539"/>
    <w:rsid w:val="009B1F92"/>
    <w:rsid w:val="009B24CE"/>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634"/>
    <w:rsid w:val="009C1A87"/>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470"/>
    <w:rsid w:val="009D39FA"/>
    <w:rsid w:val="009D3C8B"/>
    <w:rsid w:val="009D3CFE"/>
    <w:rsid w:val="009D3D1B"/>
    <w:rsid w:val="009D3F9C"/>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C43"/>
    <w:rsid w:val="00A51D2D"/>
    <w:rsid w:val="00A51F2C"/>
    <w:rsid w:val="00A5201D"/>
    <w:rsid w:val="00A52AA6"/>
    <w:rsid w:val="00A52AED"/>
    <w:rsid w:val="00A53C86"/>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6AC5"/>
    <w:rsid w:val="00A7705B"/>
    <w:rsid w:val="00A779AF"/>
    <w:rsid w:val="00A804A4"/>
    <w:rsid w:val="00A804B7"/>
    <w:rsid w:val="00A80E45"/>
    <w:rsid w:val="00A80F2C"/>
    <w:rsid w:val="00A81372"/>
    <w:rsid w:val="00A8157E"/>
    <w:rsid w:val="00A81EBF"/>
    <w:rsid w:val="00A81F49"/>
    <w:rsid w:val="00A82149"/>
    <w:rsid w:val="00A82431"/>
    <w:rsid w:val="00A82605"/>
    <w:rsid w:val="00A831C8"/>
    <w:rsid w:val="00A8340E"/>
    <w:rsid w:val="00A83C39"/>
    <w:rsid w:val="00A84289"/>
    <w:rsid w:val="00A8486C"/>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227A"/>
    <w:rsid w:val="00AA28FF"/>
    <w:rsid w:val="00AA3849"/>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B18"/>
    <w:rsid w:val="00AB3C40"/>
    <w:rsid w:val="00AB4180"/>
    <w:rsid w:val="00AB4325"/>
    <w:rsid w:val="00AB45E5"/>
    <w:rsid w:val="00AB4893"/>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062"/>
    <w:rsid w:val="00AE030D"/>
    <w:rsid w:val="00AE03E7"/>
    <w:rsid w:val="00AE0C86"/>
    <w:rsid w:val="00AE0CD4"/>
    <w:rsid w:val="00AE16D7"/>
    <w:rsid w:val="00AE19D6"/>
    <w:rsid w:val="00AE1D8D"/>
    <w:rsid w:val="00AE2790"/>
    <w:rsid w:val="00AE295B"/>
    <w:rsid w:val="00AE3ED4"/>
    <w:rsid w:val="00AE4249"/>
    <w:rsid w:val="00AE4521"/>
    <w:rsid w:val="00AE4B43"/>
    <w:rsid w:val="00AE4B55"/>
    <w:rsid w:val="00AE4FFA"/>
    <w:rsid w:val="00AE5959"/>
    <w:rsid w:val="00AE6220"/>
    <w:rsid w:val="00AE6AC6"/>
    <w:rsid w:val="00AE71AE"/>
    <w:rsid w:val="00AE7872"/>
    <w:rsid w:val="00AE7D4D"/>
    <w:rsid w:val="00AF19AA"/>
    <w:rsid w:val="00AF1BA5"/>
    <w:rsid w:val="00AF237C"/>
    <w:rsid w:val="00AF284E"/>
    <w:rsid w:val="00AF299E"/>
    <w:rsid w:val="00AF2DF5"/>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6844"/>
    <w:rsid w:val="00B07308"/>
    <w:rsid w:val="00B07623"/>
    <w:rsid w:val="00B07E2B"/>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89B"/>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5D0B"/>
    <w:rsid w:val="00B36233"/>
    <w:rsid w:val="00B369AA"/>
    <w:rsid w:val="00B3722A"/>
    <w:rsid w:val="00B377CB"/>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F85"/>
    <w:rsid w:val="00B466C1"/>
    <w:rsid w:val="00B479DC"/>
    <w:rsid w:val="00B47A6C"/>
    <w:rsid w:val="00B500BB"/>
    <w:rsid w:val="00B502E8"/>
    <w:rsid w:val="00B50309"/>
    <w:rsid w:val="00B50619"/>
    <w:rsid w:val="00B508BD"/>
    <w:rsid w:val="00B51054"/>
    <w:rsid w:val="00B510DF"/>
    <w:rsid w:val="00B5164E"/>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906"/>
    <w:rsid w:val="00B60A74"/>
    <w:rsid w:val="00B60B7B"/>
    <w:rsid w:val="00B61961"/>
    <w:rsid w:val="00B61A4A"/>
    <w:rsid w:val="00B61DEC"/>
    <w:rsid w:val="00B62358"/>
    <w:rsid w:val="00B627BD"/>
    <w:rsid w:val="00B633BE"/>
    <w:rsid w:val="00B63490"/>
    <w:rsid w:val="00B63B02"/>
    <w:rsid w:val="00B644F4"/>
    <w:rsid w:val="00B65858"/>
    <w:rsid w:val="00B65D34"/>
    <w:rsid w:val="00B665C8"/>
    <w:rsid w:val="00B671C4"/>
    <w:rsid w:val="00B67810"/>
    <w:rsid w:val="00B6783A"/>
    <w:rsid w:val="00B7139D"/>
    <w:rsid w:val="00B713EE"/>
    <w:rsid w:val="00B71804"/>
    <w:rsid w:val="00B72061"/>
    <w:rsid w:val="00B72232"/>
    <w:rsid w:val="00B7233D"/>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FC1"/>
    <w:rsid w:val="00B8300F"/>
    <w:rsid w:val="00B835A8"/>
    <w:rsid w:val="00B83769"/>
    <w:rsid w:val="00B851DF"/>
    <w:rsid w:val="00B85377"/>
    <w:rsid w:val="00B8584C"/>
    <w:rsid w:val="00B858E7"/>
    <w:rsid w:val="00B85A69"/>
    <w:rsid w:val="00B85BD5"/>
    <w:rsid w:val="00B8614B"/>
    <w:rsid w:val="00B8798D"/>
    <w:rsid w:val="00B87A0D"/>
    <w:rsid w:val="00B906DC"/>
    <w:rsid w:val="00B90D0E"/>
    <w:rsid w:val="00B91E7A"/>
    <w:rsid w:val="00B92523"/>
    <w:rsid w:val="00B92710"/>
    <w:rsid w:val="00B930C3"/>
    <w:rsid w:val="00B9360D"/>
    <w:rsid w:val="00B946CF"/>
    <w:rsid w:val="00B94B90"/>
    <w:rsid w:val="00B94E31"/>
    <w:rsid w:val="00B955A8"/>
    <w:rsid w:val="00B95829"/>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6454"/>
    <w:rsid w:val="00BA6C2F"/>
    <w:rsid w:val="00BA6C34"/>
    <w:rsid w:val="00BA7137"/>
    <w:rsid w:val="00BA7934"/>
    <w:rsid w:val="00BA7DB0"/>
    <w:rsid w:val="00BB0569"/>
    <w:rsid w:val="00BB148F"/>
    <w:rsid w:val="00BB1492"/>
    <w:rsid w:val="00BB17BB"/>
    <w:rsid w:val="00BB1A55"/>
    <w:rsid w:val="00BB1A7D"/>
    <w:rsid w:val="00BB1BF8"/>
    <w:rsid w:val="00BB1CA2"/>
    <w:rsid w:val="00BB1E08"/>
    <w:rsid w:val="00BB2579"/>
    <w:rsid w:val="00BB3896"/>
    <w:rsid w:val="00BB3B4F"/>
    <w:rsid w:val="00BB3BB5"/>
    <w:rsid w:val="00BB3C33"/>
    <w:rsid w:val="00BB40C8"/>
    <w:rsid w:val="00BB46AA"/>
    <w:rsid w:val="00BB56A7"/>
    <w:rsid w:val="00BB5D9E"/>
    <w:rsid w:val="00BB5FE1"/>
    <w:rsid w:val="00BB6677"/>
    <w:rsid w:val="00BB674E"/>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6D"/>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07FC7"/>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8D"/>
    <w:rsid w:val="00C23106"/>
    <w:rsid w:val="00C2363A"/>
    <w:rsid w:val="00C2365A"/>
    <w:rsid w:val="00C237AC"/>
    <w:rsid w:val="00C24722"/>
    <w:rsid w:val="00C24A0B"/>
    <w:rsid w:val="00C24D00"/>
    <w:rsid w:val="00C24DFD"/>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BB1"/>
    <w:rsid w:val="00C31C74"/>
    <w:rsid w:val="00C3382F"/>
    <w:rsid w:val="00C3514D"/>
    <w:rsid w:val="00C35D84"/>
    <w:rsid w:val="00C3639B"/>
    <w:rsid w:val="00C36A1E"/>
    <w:rsid w:val="00C3750A"/>
    <w:rsid w:val="00C37EA6"/>
    <w:rsid w:val="00C402A0"/>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637"/>
    <w:rsid w:val="00C6270C"/>
    <w:rsid w:val="00C62FE8"/>
    <w:rsid w:val="00C641B3"/>
    <w:rsid w:val="00C643CD"/>
    <w:rsid w:val="00C644DA"/>
    <w:rsid w:val="00C6478D"/>
    <w:rsid w:val="00C65047"/>
    <w:rsid w:val="00C6535A"/>
    <w:rsid w:val="00C65EA4"/>
    <w:rsid w:val="00C66242"/>
    <w:rsid w:val="00C66272"/>
    <w:rsid w:val="00C662D1"/>
    <w:rsid w:val="00C66C27"/>
    <w:rsid w:val="00C66E2B"/>
    <w:rsid w:val="00C67665"/>
    <w:rsid w:val="00C70277"/>
    <w:rsid w:val="00C70549"/>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CCD"/>
    <w:rsid w:val="00C82E37"/>
    <w:rsid w:val="00C83148"/>
    <w:rsid w:val="00C83697"/>
    <w:rsid w:val="00C83A74"/>
    <w:rsid w:val="00C83D04"/>
    <w:rsid w:val="00C83D71"/>
    <w:rsid w:val="00C8420C"/>
    <w:rsid w:val="00C858F0"/>
    <w:rsid w:val="00C86166"/>
    <w:rsid w:val="00C8652D"/>
    <w:rsid w:val="00C86836"/>
    <w:rsid w:val="00C86B71"/>
    <w:rsid w:val="00C86FB2"/>
    <w:rsid w:val="00C876F1"/>
    <w:rsid w:val="00C87889"/>
    <w:rsid w:val="00C87C7D"/>
    <w:rsid w:val="00C90006"/>
    <w:rsid w:val="00C9077F"/>
    <w:rsid w:val="00C909E1"/>
    <w:rsid w:val="00C90CAC"/>
    <w:rsid w:val="00C917A6"/>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67"/>
    <w:rsid w:val="00C97316"/>
    <w:rsid w:val="00C976E9"/>
    <w:rsid w:val="00C978D0"/>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6EFA"/>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E08"/>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4CD1"/>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B6C"/>
    <w:rsid w:val="00CE5C31"/>
    <w:rsid w:val="00CE6314"/>
    <w:rsid w:val="00CE6EE1"/>
    <w:rsid w:val="00CE7033"/>
    <w:rsid w:val="00CE777D"/>
    <w:rsid w:val="00CE79BE"/>
    <w:rsid w:val="00CE7A8D"/>
    <w:rsid w:val="00CE7AC7"/>
    <w:rsid w:val="00CF0E50"/>
    <w:rsid w:val="00CF141F"/>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F15"/>
    <w:rsid w:val="00D10A59"/>
    <w:rsid w:val="00D10B96"/>
    <w:rsid w:val="00D11153"/>
    <w:rsid w:val="00D113AA"/>
    <w:rsid w:val="00D11607"/>
    <w:rsid w:val="00D11666"/>
    <w:rsid w:val="00D118E2"/>
    <w:rsid w:val="00D11A17"/>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E15"/>
    <w:rsid w:val="00D50078"/>
    <w:rsid w:val="00D51124"/>
    <w:rsid w:val="00D51933"/>
    <w:rsid w:val="00D51B2F"/>
    <w:rsid w:val="00D51BA9"/>
    <w:rsid w:val="00D51F8B"/>
    <w:rsid w:val="00D525B8"/>
    <w:rsid w:val="00D52924"/>
    <w:rsid w:val="00D5296B"/>
    <w:rsid w:val="00D52F6F"/>
    <w:rsid w:val="00D53834"/>
    <w:rsid w:val="00D53B46"/>
    <w:rsid w:val="00D54A87"/>
    <w:rsid w:val="00D54B58"/>
    <w:rsid w:val="00D552B7"/>
    <w:rsid w:val="00D5766E"/>
    <w:rsid w:val="00D57BBD"/>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310"/>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966"/>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B34"/>
    <w:rsid w:val="00DF1A53"/>
    <w:rsid w:val="00DF272A"/>
    <w:rsid w:val="00DF2A25"/>
    <w:rsid w:val="00DF2F64"/>
    <w:rsid w:val="00DF3019"/>
    <w:rsid w:val="00DF31B1"/>
    <w:rsid w:val="00DF3751"/>
    <w:rsid w:val="00DF3C83"/>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551"/>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860"/>
    <w:rsid w:val="00E15F8C"/>
    <w:rsid w:val="00E16355"/>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1BB"/>
    <w:rsid w:val="00E344F9"/>
    <w:rsid w:val="00E34B20"/>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09B"/>
    <w:rsid w:val="00E540F4"/>
    <w:rsid w:val="00E549B0"/>
    <w:rsid w:val="00E54EC0"/>
    <w:rsid w:val="00E55660"/>
    <w:rsid w:val="00E56D81"/>
    <w:rsid w:val="00E604BF"/>
    <w:rsid w:val="00E60939"/>
    <w:rsid w:val="00E609E0"/>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128B"/>
    <w:rsid w:val="00E8164E"/>
    <w:rsid w:val="00E816F7"/>
    <w:rsid w:val="00E819A5"/>
    <w:rsid w:val="00E819D1"/>
    <w:rsid w:val="00E820BF"/>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4460"/>
    <w:rsid w:val="00EB51A1"/>
    <w:rsid w:val="00EB5CAE"/>
    <w:rsid w:val="00EB617B"/>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08"/>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31"/>
    <w:rsid w:val="00EF7A7E"/>
    <w:rsid w:val="00F0086F"/>
    <w:rsid w:val="00F00901"/>
    <w:rsid w:val="00F01DE4"/>
    <w:rsid w:val="00F01F22"/>
    <w:rsid w:val="00F03155"/>
    <w:rsid w:val="00F03A9F"/>
    <w:rsid w:val="00F04E0C"/>
    <w:rsid w:val="00F05380"/>
    <w:rsid w:val="00F054F1"/>
    <w:rsid w:val="00F05743"/>
    <w:rsid w:val="00F05847"/>
    <w:rsid w:val="00F05AD4"/>
    <w:rsid w:val="00F05E89"/>
    <w:rsid w:val="00F05FA5"/>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163"/>
    <w:rsid w:val="00F2545B"/>
    <w:rsid w:val="00F254B2"/>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977"/>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F08"/>
    <w:rsid w:val="00F625D6"/>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89A"/>
    <w:rsid w:val="00F73AC9"/>
    <w:rsid w:val="00F73B8E"/>
    <w:rsid w:val="00F73BA0"/>
    <w:rsid w:val="00F73CCC"/>
    <w:rsid w:val="00F744B0"/>
    <w:rsid w:val="00F74556"/>
    <w:rsid w:val="00F75304"/>
    <w:rsid w:val="00F75535"/>
    <w:rsid w:val="00F7557A"/>
    <w:rsid w:val="00F75662"/>
    <w:rsid w:val="00F75ED9"/>
    <w:rsid w:val="00F76414"/>
    <w:rsid w:val="00F7642E"/>
    <w:rsid w:val="00F769BA"/>
    <w:rsid w:val="00F76F1D"/>
    <w:rsid w:val="00F77124"/>
    <w:rsid w:val="00F77321"/>
    <w:rsid w:val="00F77A35"/>
    <w:rsid w:val="00F77DAE"/>
    <w:rsid w:val="00F8015A"/>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96F"/>
    <w:rsid w:val="00FB4C80"/>
    <w:rsid w:val="00FB5BA3"/>
    <w:rsid w:val="00FB5C67"/>
    <w:rsid w:val="00FB5ED2"/>
    <w:rsid w:val="00FB6A7D"/>
    <w:rsid w:val="00FC0290"/>
    <w:rsid w:val="00FC086F"/>
    <w:rsid w:val="00FC11EA"/>
    <w:rsid w:val="00FC1709"/>
    <w:rsid w:val="00FC2555"/>
    <w:rsid w:val="00FC296F"/>
    <w:rsid w:val="00FC38BC"/>
    <w:rsid w:val="00FC45E4"/>
    <w:rsid w:val="00FC48D6"/>
    <w:rsid w:val="00FC4B22"/>
    <w:rsid w:val="00FC5984"/>
    <w:rsid w:val="00FC6146"/>
    <w:rsid w:val="00FC6200"/>
    <w:rsid w:val="00FC6C52"/>
    <w:rsid w:val="00FC71BE"/>
    <w:rsid w:val="00FC77B0"/>
    <w:rsid w:val="00FC7C48"/>
    <w:rsid w:val="00FD0635"/>
    <w:rsid w:val="00FD1ABB"/>
    <w:rsid w:val="00FD208C"/>
    <w:rsid w:val="00FD25F6"/>
    <w:rsid w:val="00FD2E97"/>
    <w:rsid w:val="00FD30FB"/>
    <w:rsid w:val="00FD37A6"/>
    <w:rsid w:val="00FD37AD"/>
    <w:rsid w:val="00FD3CCE"/>
    <w:rsid w:val="00FD57C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 w:type="paragraph" w:styleId="HTML">
    <w:name w:val="HTML Preformatted"/>
    <w:basedOn w:val="a"/>
    <w:link w:val="HTMLChar"/>
    <w:uiPriority w:val="99"/>
    <w:semiHidden/>
    <w:unhideWhenUsed/>
    <w:rsid w:val="006F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rPr>
  </w:style>
  <w:style w:type="character" w:customStyle="1" w:styleId="HTMLChar">
    <w:name w:val="미리 서식이 지정된 HTML Char"/>
    <w:basedOn w:val="a0"/>
    <w:link w:val="HTML"/>
    <w:uiPriority w:val="99"/>
    <w:semiHidden/>
    <w:rsid w:val="006F039F"/>
    <w:rPr>
      <w:rFonts w:ascii="굴림체" w:eastAsia="굴림체" w:hAnsi="굴림체" w:cs="굴림체"/>
      <w:sz w:val="24"/>
      <w:szCs w:val="24"/>
    </w:rPr>
  </w:style>
  <w:style w:type="character" w:customStyle="1" w:styleId="y2iqfc">
    <w:name w:val="y2iqfc"/>
    <w:basedOn w:val="a0"/>
    <w:rsid w:val="006F0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415717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750661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4723689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342336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146023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0573154">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6034461">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6397325">
      <w:bodyDiv w:val="1"/>
      <w:marLeft w:val="0"/>
      <w:marRight w:val="0"/>
      <w:marTop w:val="0"/>
      <w:marBottom w:val="0"/>
      <w:divBdr>
        <w:top w:val="none" w:sz="0" w:space="0" w:color="auto"/>
        <w:left w:val="none" w:sz="0" w:space="0" w:color="auto"/>
        <w:bottom w:val="none" w:sz="0" w:space="0" w:color="auto"/>
        <w:right w:val="none" w:sz="0" w:space="0" w:color="auto"/>
      </w:divBdr>
    </w:div>
    <w:div w:id="719400507">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2625155">
      <w:bodyDiv w:val="1"/>
      <w:marLeft w:val="0"/>
      <w:marRight w:val="0"/>
      <w:marTop w:val="0"/>
      <w:marBottom w:val="0"/>
      <w:divBdr>
        <w:top w:val="none" w:sz="0" w:space="0" w:color="auto"/>
        <w:left w:val="none" w:sz="0" w:space="0" w:color="auto"/>
        <w:bottom w:val="none" w:sz="0" w:space="0" w:color="auto"/>
        <w:right w:val="none" w:sz="0" w:space="0" w:color="auto"/>
      </w:divBdr>
    </w:div>
    <w:div w:id="811874870">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59930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4766">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19255775">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0972866">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52272606">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1959739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243799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5210520">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129D2-BCFF-4A00-BDDD-9E9B38440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1154</Words>
  <Characters>6583</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7722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정재훈/선임연구원/미래기술센터 C&amp;M표준(연)5G무선통신표준Task(jhoon.chung@lge.com)</cp:lastModifiedBy>
  <cp:revision>2</cp:revision>
  <cp:lastPrinted>2019-08-16T06:32:00Z</cp:lastPrinted>
  <dcterms:created xsi:type="dcterms:W3CDTF">2022-11-07T04:13:00Z</dcterms:created>
  <dcterms:modified xsi:type="dcterms:W3CDTF">2022-11-07T04:13:00Z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